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Rivas Audi Chapa — Marzo 2026</w:t>
      </w:r>
    </w:p>
    <w:p>
      <w:pPr>
        <w:jc w:val="center"/>
      </w:pPr>
      <w:r>
        <w:rPr>
          <w:color w:val="444444"/>
          <w:sz w:val="24"/>
        </w:rPr>
        <w:t>Luis Ramos · Rivas Audi Chapa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Proactividad Comercial — Posicion 3 de 143 | Puntuacion del modulo: 7,85</w:t>
      </w:r>
    </w:p>
    <w:p>
      <w:pPr>
        <w:pStyle w:val="ListBullet"/>
      </w:pPr>
      <w:r>
        <w:t>Variacion recambios respecto a hace 2 anos: +36.39%.</w:t>
      </w:r>
    </w:p>
    <w:p>
      <w:pPr>
        <w:pStyle w:val="ListBullet"/>
      </w:pPr>
      <w:r>
        <w:t>Variacion mano de obra respecto a hace 2 anos: +34.40%.</w:t>
      </w:r>
    </w:p>
    <w:p>
      <w:pPr>
        <w:pStyle w:val="ListBullet"/>
      </w:pPr>
      <w:r>
        <w:t>ICC - Ext. Garantia: 84,8% (media 65,5%, Top20 91,8%). Fortaleza, muy por encima de la media.</w:t>
      </w:r>
    </w:p>
    <w:p>
      <w:pPr>
        <w:pStyle w:val="ListBullet"/>
      </w:pPr>
      <w:r>
        <w:t>ICC - Sust. Neumaticos: 27,2% (media 24,1%, Top20 46,0%). Supera ligeramente la media.</w:t>
      </w:r>
    </w:p>
    <w:p>
      <w:pPr>
        <w:pStyle w:val="ListBullet"/>
      </w:pPr>
      <w:r>
        <w:t>ICC - Radar (Desgaste): 116,69% (media 98,3%, Top20 162,8%). Supera el objetivo teorico del 100%.</w:t>
      </w:r>
    </w:p>
    <w:p>
      <w:pPr>
        <w:pStyle w:val="ListBullet"/>
      </w:pPr>
      <w:r>
        <w:t>ICC - At. Comerciales: 7,56% (media 6,3%, Top20 20,96%). Ratio por encima de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RGPD: 80,4% (media 72,4%, Top20 90,3%). Puntuacion 0,00 por no alcanzar el umbral del 85%.</w:t>
      </w:r>
    </w:p>
    <w:p>
      <w:pPr>
        <w:pStyle w:val="ListBullet"/>
      </w:pPr>
      <w:r>
        <w:t>ICC - Accesorios: sin actividad registrada (#DIV/0). Critico.</w:t>
      </w:r>
    </w:p>
    <w:p>
      <w:pPr>
        <w:pStyle w:val="ListBullet"/>
      </w:pPr>
      <w:r>
        <w:t>ICC - Campanas Averias: 0% (media 10%, Top20 10%). Oportunidad de negocio perdida. Critico.</w:t>
      </w:r>
    </w:p>
    <w:p/>
    <w:p>
      <w:pPr>
        <w:pStyle w:val="Heading1"/>
      </w:pPr>
      <w:r>
        <w:t>Digital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Digital — Posicion 21 de 143 | Puntuacion del modulo: 5,95</w:t>
      </w:r>
    </w:p>
    <w:p>
      <w:pPr>
        <w:pStyle w:val="ListBullet"/>
      </w:pPr>
      <w:r>
        <w:t>ICC - Audi CAM: 5,45% (media 5,2%, Top20 18,4%). En linea con la media.</w:t>
      </w:r>
    </w:p>
    <w:p>
      <w:pPr>
        <w:pStyle w:val="ListBullet"/>
      </w:pPr>
      <w:r>
        <w:t>ICC - Recovery Conectividad: 56,45% (media 18,1%, Top20 47,69%). Excelente, superior al Top 20.</w:t>
      </w:r>
    </w:p>
    <w:p>
      <w:pPr>
        <w:pStyle w:val="ListBullet"/>
      </w:pPr>
      <w:r>
        <w:t>ICC - ONE Score: 6,7 (media 6,6, Top20 8,6). En linea con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Cita Online: 0,0% (media 18,1%, Top20 47,6%). Canal totalmente inactivo. Critico.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Calidad — Posicion 66 de 143 | Puntuacion del modulo: 5,99</w:t>
      </w:r>
    </w:p>
    <w:p>
      <w:pPr>
        <w:pStyle w:val="ListBullet"/>
      </w:pPr>
      <w:r>
        <w:t>ICC - CEM Satisfaccion General: 4,8 (media 4,69, Top20 5,0). Buena percepcion del cliente.</w:t>
      </w:r>
    </w:p>
    <w:p>
      <w:pPr>
        <w:pStyle w:val="ListBullet"/>
      </w:pPr>
      <w:r>
        <w:t>ICC - Audi Move: 93,3% (media 56,2%, Top20 92,5%). Excelente, nivel Top 20.</w:t>
      </w:r>
    </w:p>
    <w:p>
      <w:pPr>
        <w:pStyle w:val="ListBullet"/>
      </w:pPr>
      <w:r>
        <w:t>ICC - Transporte Alternativo: 67,2% (media 56,1%). Muy por encima de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CAL1SEM: 4.00 (10 puntos Iron Man). Por debajo de 5. Revisar encuestas de satisfaccion.</w:t>
      </w:r>
    </w:p>
    <w:p>
      <w:pPr>
        <w:pStyle w:val="ListBullet"/>
      </w:pPr>
      <w:r>
        <w:t>ICC - ICT (Incidencias): 0,8% (media 0,6%, Top20 0%). Ratio de quejas superior a la media.</w:t>
      </w:r>
    </w:p>
    <w:p>
      <w:pPr>
        <w:pStyle w:val="ListBullet"/>
      </w:pPr>
      <w:r>
        <w:t>ICC - Contacto Proceso AU: 55,0% (media 74,18%, Top20 96,33%). Fallo en la comunicacion proactiva.</w:t>
      </w:r>
    </w:p>
    <w:p/>
    <w:p>
      <w:pPr>
        <w:pStyle w:val="Heading1"/>
      </w:pPr>
      <w:r>
        <w:t>Procesos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Productividad: 115.49% sobre objetivo 120% (-4.51pp). Objetivo no alcanzado.</w:t>
      </w:r>
    </w:p>
    <w:p/>
    <w:p>
      <w:pPr>
        <w:pStyle w:val="Heading1"/>
      </w:pPr>
      <w:r>
        <w:t>Recursos generales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Recursos Generales — Posicion 115 de 143 | Puntuacion del modulo: 4,08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Ocupacion (PLATON): 78,6% (media 88,51%, Top20 98,06%). Taller con capacidad ociosa.</w:t>
      </w:r>
    </w:p>
    <w:p>
      <w:pPr>
        <w:pStyle w:val="ListBullet"/>
      </w:pPr>
      <w:r>
        <w:t>ICC - T. Cita Mecanica: 22,8 dias (media 18,22, Top20 15,32). Esperas excesivas para el cliente. Critico.</w:t>
      </w:r>
    </w:p>
    <w:p>
      <w:pPr>
        <w:pStyle w:val="ListBullet"/>
      </w:pPr>
      <w:r>
        <w:t>ICC - T. Ciclo Carroceria: 10,2 dias (media 6,62, Top20 5,78). Proceso de chapa lento. Critico.</w:t>
      </w:r>
    </w:p>
    <w:p>
      <w:pPr>
        <w:pStyle w:val="ListBullet"/>
      </w:pPr>
      <w:r>
        <w:t>ICC - Mantenimientos &lt;24h: 30,9% (media 44,92%, Top20 70,07%). Baja rapidez en mantenimientos.</w:t>
      </w:r>
    </w:p>
    <w:p>
      <w:pPr>
        <w:pStyle w:val="ListBullet"/>
      </w:pPr>
      <w:r>
        <w:t>ICC - Pedido Talentia: 63% (media 90,9%, Top20 230,8%). Gestion de pedidos mejorable.</w:t>
      </w:r>
    </w:p>
    <w:p/>
    <w:p>
      <w:pPr>
        <w:pStyle w:val="Heading1"/>
      </w:pPr>
      <w:r>
        <w:t>Carroceria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Carroceria — Posicion 15 de 143 | Puntuacion del modulo: 7,67</w:t>
      </w:r>
    </w:p>
    <w:p>
      <w:pPr>
        <w:pStyle w:val="ListBullet"/>
      </w:pPr>
      <w:r>
        <w:t>ICC - Fidelidad Mecanica: 41,0% (media 5,6%, Top20 1,9%). Derivacion masiva de clientes a chapa.</w:t>
      </w:r>
    </w:p>
    <w:p>
      <w:pPr>
        <w:pStyle w:val="ListBullet"/>
      </w:pPr>
      <w:r>
        <w:t>ICC - CEM Carroceria: 5,0 (media 4,78, Top20 5,0). Nivel de satisfaccion Top 20. Excelente.</w:t>
      </w:r>
    </w:p>
    <w:p>
      <w:pPr>
        <w:pStyle w:val="ListBullet"/>
      </w:pPr>
      <w:r>
        <w:t>ICC - Recup. Siniestros: 100% (media 96,7%, Top20 100%). Gestion perfecta del programa.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Retencion Parque: -14,4% (media -10,7%, Top20 1,9%). Caida superior a la media nacional.</w:t>
      </w:r>
    </w:p>
    <w:p/>
    <w:p>
      <w:pPr>
        <w:pStyle w:val="Heading1"/>
      </w:pPr>
      <w:r>
        <w:t>Personas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Personas — Posicion 76 de 143 | Puntuacion del modulo: 7,94</w:t>
      </w:r>
    </w:p>
    <w:p>
      <w:pPr>
        <w:pStyle w:val="ListBullet"/>
      </w:pPr>
      <w:r>
        <w:t>ICC - Formacion (% No Asistencia): 9,6% (media 10,5%, Top20 0,0%). Mejor asistencia que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Formacion (% Certificados): 98,6% (media 99,29%, Top20 100%). Ligeramente por debajo de la media.</w:t>
      </w:r>
    </w:p>
    <w:p>
      <w:pPr>
        <w:pStyle w:val="ListBullet"/>
      </w:pPr>
      <w:r>
        <w:t>ICC - Retencion Personal: 95,7% (media 99,2%, Top20 100%). Estabilidad de plantilla por mejorar.</w:t>
      </w:r>
    </w:p>
    <w:p/>
    <w:p>
      <w:pPr>
        <w:pStyle w:val="Heading1"/>
      </w:pPr>
      <w:r>
        <w:t>Rankings de marca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global: posicion 3 de 143 | Puntuacion: 7,85</w:t>
      </w:r>
    </w:p>
    <w:p>
      <w:pPr>
        <w:pStyle w:val="ListBullet"/>
      </w:pPr>
      <w:r>
        <w:t>Iron Man ICC: posicion 15 en el ranking de marca. Posicion aceptable.</w:t>
      </w:r>
    </w:p>
    <w:p>
      <w:pPr>
        <w:pStyle w:val="ListBullet"/>
      </w:pPr>
      <w:r>
        <w:t>Horch Lauden: posicion 26. Posicion aceptable.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301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301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3010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3010"/>
          </w:tcPr>
          <w:p>
            <w:r>
              <w:t>Utilizar el Laser de desgaste</w:t>
            </w:r>
          </w:p>
        </w:tc>
        <w:tc>
          <w:tcPr>
            <w:tcW w:type="dxa" w:w="3010"/>
          </w:tcPr>
          <w:p>
            <w:r/>
          </w:p>
        </w:tc>
        <w:tc>
          <w:tcPr>
            <w:tcW w:type="dxa" w:w="3010"/>
          </w:tcPr>
          <w:p>
            <w:r/>
          </w:p>
        </w:tc>
        <w:tc>
          <w:tcPr>
            <w:tcW w:type="dxa" w:w="3010"/>
          </w:tcPr>
          <w:p>
            <w:r>
              <w:t/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