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Chapa — Marzo 2026</w:t>
      </w:r>
    </w:p>
    <w:p>
      <w:pPr>
        <w:jc w:val="center"/>
      </w:pPr>
      <w:r>
        <w:rPr>
          <w:color w:val="444444"/>
          <w:sz w:val="24"/>
        </w:rPr>
        <w:t>Pericles · Vara Chapa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10 de 166 | Puntuacion del modulo: 5,80</w:t>
      </w:r>
    </w:p>
    <w:p>
      <w:pPr>
        <w:pStyle w:val="ListBullet"/>
      </w:pPr>
      <w:r>
        <w:t>ICC - Sust. Neumaticos: 45,3% (media 22,4%, Top20 40,7%). Excelente, nivel superior al Top 20.</w:t>
      </w:r>
    </w:p>
    <w:p>
      <w:pPr>
        <w:pStyle w:val="ListBullet"/>
      </w:pPr>
      <w:r>
        <w:t>ICC - Radar (Desgaste): 136,8% (media 99%, Top20 164%). Excelente, puntuacion maxima (10,00).</w:t>
      </w:r>
    </w:p>
    <w:p>
      <w:pPr>
        <w:pStyle w:val="ListBullet"/>
      </w:pPr>
      <w:r>
        <w:t>ICC - At. Comerciales: 19,3% (media 9%, Top20 49%). Supera ampliamente la media nacional.</w:t>
      </w:r>
    </w:p>
    <w:p>
      <w:pPr>
        <w:pStyle w:val="ListBullet"/>
      </w:pPr>
      <w:r>
        <w:t>ICC - Sust. Parabrisas: 3,1% (media 1,4%, Top20 3,7%). Rozando el nivel del Top 20.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-38.04%.</w:t>
      </w:r>
    </w:p>
    <w:p>
      <w:pPr>
        <w:pStyle w:val="ListBullet"/>
      </w:pPr>
      <w:r>
        <w:t>Variacion mano de obra respecto a hace 2 anos: -7.70%.</w:t>
      </w:r>
    </w:p>
    <w:p>
      <w:pPr>
        <w:pStyle w:val="ListBullet"/>
      </w:pPr>
      <w:r>
        <w:t>ICC - RGPD: 79,7% (media 74%, Top20 93%). Puntuacion 0,00 por no alcanzar el umbral del 85%.</w:t>
      </w:r>
    </w:p>
    <w:p>
      <w:pPr>
        <w:pStyle w:val="ListBullet"/>
      </w:pPr>
      <w:r>
        <w:t>ICC - Ext. Garantia: 11,4% (media 49%, Top20 80%). Muy por debajo de la media nacional.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50 de 166 | Puntuacion del modulo: 5,91</w:t>
      </w:r>
    </w:p>
    <w:p>
      <w:pPr>
        <w:pStyle w:val="ListBullet"/>
      </w:pPr>
      <w:r>
        <w:t>ICC - Gestion de Leads: 100,0% (media 83%, Top20 100%). Maximo aprovechamiento. Perfecto.</w:t>
      </w:r>
    </w:p>
    <w:p>
      <w:pPr>
        <w:pStyle w:val="ListBullet"/>
      </w:pPr>
      <w:r>
        <w:t>ICC - ONE Score: 6,9 (media 6,6, Top20 8,8). Calidad del dato por encima de la media.</w:t>
      </w:r>
    </w:p>
    <w:p>
      <w:pPr>
        <w:pStyle w:val="ListBullet"/>
      </w:pPr>
      <w:r>
        <w:t>ICC - Cita Online: 1,7% (media 1,3%, Top20 6,1%). Supera ligeramente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Recovery Conectividad: 6,3% (media 7,72%, Top20 21,47%). Por debajo de la media de la red.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— Posicion 34 de 166 | Puntuacion del modulo: 7,22</w:t>
      </w:r>
    </w:p>
    <w:p>
      <w:pPr>
        <w:pStyle w:val="ListBullet"/>
      </w:pPr>
      <w:r>
        <w:t>ICC - Escalaciones At. C.: 0,0% (media 2,4%, Top20 0%). Cero casos escalados.</w:t>
      </w:r>
    </w:p>
    <w:p>
      <w:pPr>
        <w:pStyle w:val="ListBullet"/>
      </w:pPr>
      <w:r>
        <w:t>ICC - Google BP: 100,0% (media 97,8%, Top20 100%). Gestion impecable de resenas. Perfecto.</w:t>
      </w:r>
    </w:p>
    <w:p>
      <w:pPr>
        <w:pStyle w:val="ListBullet"/>
      </w:pPr>
      <w:r>
        <w:t>ICC - ICT (Incidencias): 0,3% (media 0,5%, Top20 0%). Ratio de quejas inferior a la media.</w:t>
      </w:r>
    </w:p>
    <w:p>
      <w:pPr>
        <w:pStyle w:val="ListBullet"/>
      </w:pPr>
      <w:r>
        <w:t>ICC - Satisfaccion General (NPS): 72,3% (media 65,4%, Top20 96,2%).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satisfaccion.</w:t>
      </w:r>
    </w:p>
    <w:p>
      <w:pPr>
        <w:pStyle w:val="ListBullet"/>
      </w:pPr>
      <w:r>
        <w:t>ICC - Recogida y Entrega: 0,1% (media 5,85%, Top20 15%). Uso marginal del servicio. Critico.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119.83% sobre objetivo 120% (-0.17pp). Objetivo no alcanzado.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55 de 166 | Puntuacion del modulo: 6,02</w:t>
      </w:r>
    </w:p>
    <w:p>
      <w:pPr>
        <w:pStyle w:val="ListBullet"/>
      </w:pPr>
      <w:r>
        <w:t>ICC - Ocupacion (PLATON): 96,2% (media 88,3%, Top20 101,2%). Alta carga de trabajo en taller.</w:t>
      </w:r>
    </w:p>
    <w:p>
      <w:pPr>
        <w:pStyle w:val="ListBullet"/>
      </w:pPr>
      <w:r>
        <w:t>ICC - Ciclo Mantenimiento: 1,46 dias. Eficiencia maxima, puntuacion 10,00.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Mantenim. &lt;24h: 34,6% (media 48,11%, Top20 73%). Rapidez inferior a la media nacional.</w:t>
      </w:r>
    </w:p>
    <w:p>
      <w:pPr>
        <w:pStyle w:val="ListBullet"/>
      </w:pPr>
      <w:r>
        <w:t>ICC - T. Cita Mecanica: 15,9 dias (media 15,02, Top20 12,83). Espera ligeramente superior a la media.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92 de 348 | Puntuacion del modulo: 5,87</w:t>
      </w:r>
    </w:p>
    <w:p>
      <w:pPr>
        <w:pStyle w:val="ListBullet"/>
      </w:pPr>
      <w:r>
        <w:t>ICC - Recup. Siniestros: 100,0% (media 98,1%, Top20 100%). Gestion impecable del programa. Perfecto.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Facturacion Carroceria: -17,6% (media 50,2%, Top20 418%). Caida frente al fuerte crecimiento medio. Critico.</w:t>
      </w:r>
    </w:p>
    <w:p>
      <w:pPr>
        <w:pStyle w:val="ListBullet"/>
      </w:pPr>
      <w:r>
        <w:t>ICC - Fidelidad Mecanica: -6,8% (media -4,7%, Top20 9,7%). Perdida de fidelidad mayor que la media.</w:t>
      </w:r>
    </w:p>
    <w:p>
      <w:pPr>
        <w:pStyle w:val="ListBullet"/>
      </w:pPr>
      <w:r>
        <w:t>ICC - Retencion Parque: -6,0% (media 0,2%). Tendencia negativa en retencion.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160 de 166 | Puntuacion del modulo: 2,71</w:t>
      </w:r>
    </w:p>
    <w:p>
      <w:pPr>
        <w:pStyle w:val="ListBullet"/>
      </w:pPr>
      <w:r>
        <w:t>ICC - Formacion (% Certificados): 98,1% (media 99,15%, Top20 100%). Buen nivel de cualificacion.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Retencion Personal: 85,2% (media 88,8%, Top20 100%). Estabilidad de plantilla inferior a la media.</w:t>
      </w:r>
    </w:p>
    <w:p>
      <w:pPr>
        <w:pStyle w:val="ListBullet"/>
      </w:pPr>
      <w:r>
        <w:t>ICC - Formacion (% No Asistencia): 17,0% (media 8,8%, Top20 0%). Absentismo formativo muy elevado. Critico.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24 de 166 | Puntuacion: 5,96</w:t>
      </w:r>
    </w:p>
    <w:p>
      <w:pPr>
        <w:pStyle w:val="ListBullet"/>
      </w:pPr>
      <w:r>
        <w:t>Horch Lauden: posicion 49. Posicion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Iron Man ICC: posicion 92 en el ranking de marca. Margen de mejora significativo.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