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Taboada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— Baterías: 14.89 pts (media equipo: 10.92 pts).</w:t>
      </w:r>
    </w:p>
    <w:p>
      <w:pPr>
        <w:pStyle w:val="ListBullet"/>
      </w:pPr>
      <w:r>
        <w:t>Desgaste — Discos: 29.79 pts (media equipo: 19.86 pts).</w:t>
      </w:r>
    </w:p>
    <w:p>
      <w:pPr>
        <w:pStyle w:val="ListBullet"/>
      </w:pPr>
      <w:r>
        <w:t>Desgaste — Parabrisas: 22.34 pts (media equipo: 16.82 pts).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Desgaste: posición 10º con 258.51 pts, por debajo de la media del equipo (253.34 pts).</w:t>
      </w:r>
    </w:p>
    <w:p>
      <w:pPr>
        <w:pStyle w:val="ListBullet"/>
      </w:pPr>
      <w:r>
        <w:t>Desgaste — Amortiguadores: 10.64 pts, por debajo de la media (19.41 pts).</w:t>
      </w:r>
    </w:p>
    <w:p>
      <w:pPr>
        <w:pStyle w:val="ListBullet"/>
      </w:pPr>
      <w:r>
        <w:t>Full/Long Drive: 7 operaciones, por debajo de la media del equipo (8).</w:t>
      </w:r>
    </w:p>
    <w:p>
      <w:pPr>
        <w:pStyle w:val="ListBullet"/>
      </w:pPr>
      <w:r>
        <w:t>Fidelidad de cliente: 59.65%, por debajo de la media del equipo (63.48%).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5.00 — resultado bueno.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Posición 114 en la competición Horch Lauden. Resultado medio. Hay recorrido de mejora en la competición de marca.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  <w:tc>
          <w:tcPr/>
          <w:p>
            <w:r>
              <w:rPr>
                <w:b/>
              </w:rPr>
              <w:t>Grado de cumplimentación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