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VW — Abril 2026</w:t>
      </w:r>
    </w:p>
    <w:p>
      <w:pPr>
        <w:jc w:val="center"/>
      </w:pPr>
      <w:r>
        <w:rPr>
          <w:color w:val="444444"/>
          <w:sz w:val="24"/>
        </w:rPr>
        <w:t>Fernando · Rivas VW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Por encima de la media: Baterías: 10.45% (media 9.45%) ✓ | Parabrisas: 11.68% (media 7.61%) ✓.</w:t>
      </w:r>
    </w:p>
    <w:p>
      <w:pPr>
        <w:pStyle w:val="ListBullet"/>
      </w:pPr>
      <w:r>
        <w:t>Variación recambios respecto a hace 2 años: +3.03%.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total 179.92% (posición 7/7 del ranking): por debajo del umbral de referencia (220%). Seguimiento prioritario.</w:t>
      </w:r>
    </w:p>
    <w:p>
      <w:pPr>
        <w:pStyle w:val="ListBullet"/>
      </w:pPr>
      <w:r>
        <w:t>Por debajo de la media: Amortiguadores: 12.50% (media 17.96%) | Discos: 12.70% (media 18.44%) | Escobillas: 38.93% (media 50.78%) | Neumáticos: 53.69% (media 72.66%) | Pastillas: 39.96% (media 50.60%).</w:t>
      </w:r>
    </w:p>
    <w:p>
      <w:pPr>
        <w:pStyle w:val="ListBullet"/>
      </w:pPr>
      <w:r>
        <w:t>Variación mano de obra respecto a hace 2 años: -7.24%.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Calidad: pendiente de ranking ICC Instalaciones 2026-04.</w:t>
      </w:r>
    </w:p>
    <w:p/>
    <w:p>
      <w:pPr>
        <w:pStyle w:val="Heading1"/>
      </w:pPr>
      <w:r>
        <w:t>Procesos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Productividad: 96.41% sobre objetivo 89% (+7.41pp). Objetivo cumplido.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14 | Iron Man ICC: posición 14 en el ranking de marca. Posición aceptable.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107.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Rivas VW / Industriales (30070)</w:t>
      </w:r>
    </w:p>
    <w:p>
      <w:pPr>
        <w:pStyle w:val="ListBullet"/>
      </w:pPr>
      <w:r>
        <w:t>Multimedia Acum.: 6,6 (media equipo: 6,2;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6,1 (media equipo: 7,3) — por debajo de la media</w:t>
      </w:r>
    </w:p>
    <w:p>
      <w:pPr>
        <w:pStyle w:val="ListBullet"/>
      </w:pPr>
      <w:r>
        <w:t>Service CAM Acum.: 7% (media equipo: 8%; bueno ≥8%) — en rango regular</w:t>
      </w:r>
    </w:p>
    <w:p>
      <w:pPr>
        <w:pStyle w:val="ListBullet"/>
      </w:pPr>
      <w:r>
        <w:t>Diferidos Acum.: 3% (media equipo: 16%;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 y radar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Ratio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Variación de recambios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Variación de mano de obra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One Score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