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— Abril 2026</w:t>
      </w:r>
    </w:p>
    <w:p>
      <w:pPr>
        <w:jc w:val="center"/>
      </w:pPr>
      <w:r>
        <w:rPr>
          <w:color w:val="444444"/>
          <w:sz w:val="24"/>
        </w:rPr>
        <w:t>Guillermo · Rivas VW / Industriales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323.46 pts (posición 2/18 del ranking): por encima del objetivo de 200 pts.</w:t>
      </w:r>
    </w:p>
    <w:p>
      <w:pPr>
        <w:pStyle w:val="ListBullet"/>
      </w:pPr>
      <w:r>
        <w:t>Por encima de la media: Amortiguadores: 35.80 pts (media 19.6 pts) ✓ | Baterías: 16.05 pts (media 11.0 pts) ✓ | Escobillas: 76.54 pts (media 52.9 pts) ✓ | Neumáticos: 93.83 pts (media 75.7 pts) ✓ | Parabrisas: 30.86 pts (media 17.1 pts) ✓ | Pastillas: 58.02 pts (media 49.5 pts) ✓.</w:t>
      </w:r>
    </w:p>
    <w:p>
      <w:pPr>
        <w:pStyle w:val="ListBullet"/>
      </w:pPr>
      <w:r>
        <w:t>Full/Long Drive: 15 operaciones (media equipo: 11.1). Por encima de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Discos: 12.35 pts (media 20.6 pts).</w:t>
      </w:r>
    </w:p>
    <w:p>
      <w:pPr>
        <w:pStyle w:val="ListBullet"/>
      </w:pPr>
      <w:r>
        <w:t>Fidelidad: 60.53% (media equipo: 63.48%).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102.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Multimedia Acum.: 7,2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6,0 (media equipo: 6,2) — por debajo de la media</w:t>
      </w:r>
    </w:p>
    <w:p>
      <w:pPr>
        <w:pStyle w:val="ListBullet"/>
      </w:pPr>
      <w:r>
        <w:t>Service CAM Acum.: 5% (media equipo: 8%; bueno ≥8%) — en rango regular</w:t>
      </w:r>
    </w:p>
    <w:p>
      <w:pPr>
        <w:pStyle w:val="ListBullet"/>
      </w:pPr>
      <w:r>
        <w:t>Diferidos Acum.: 2% (media equipo: 16%;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Foco en discos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ONE score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Diferidos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Multimedia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