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Rivas VW — Abril 2026</w:t>
      </w:r>
    </w:p>
    <w:p>
      <w:pPr>
        <w:jc w:val="center"/>
      </w:pPr>
      <w:r>
        <w:rPr>
          <w:color w:val="444444"/>
          <w:sz w:val="24"/>
        </w:rPr>
        <w:t>Javier Pina · Rivas VW / Industriales</w:t>
      </w:r>
    </w:p>
    <w:p>
      <w:pPr>
        <w:jc w:val="center"/>
      </w:pPr>
      <w:r>
        <w:rPr>
          <w:color w:val="888888"/>
          <w:sz w:val="20"/>
        </w:rPr>
        <w:t>Fecha: 07/05/2026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total 200.77 pts (posición 16/18 del ranking): por encima del objetivo de 200 pts.</w:t>
      </w:r>
    </w:p>
    <w:p>
      <w:pPr>
        <w:pStyle w:val="ListBullet"/>
      </w:pPr>
      <w:r>
        <w:t>Por encima de la media: Baterías: 16.15 pts (media 11.0 pts) ✓ | Parabrisas: 18.46 pts (media 17.1 pts) ✓.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Por debajo de la media: Amortiguadores: 7.69 pts (media 19.6 pts) | Discos: 20.00 pts (media 20.6 pts) | Escobillas: 24.62 pts (media 52.9 pts) | Neumáticos: 71.54 pts (media 75.7 pts) | Pastillas: 42.31 pts (media 49.5 pts).</w:t>
      </w:r>
    </w:p>
    <w:p>
      <w:pPr>
        <w:pStyle w:val="ListBullet"/>
      </w:pPr>
      <w:r>
        <w:t>Full/Long Drive: 6 operaciones (media equipo: 11.1). Por debajo de la media.</w:t>
      </w:r>
    </w:p>
    <w:p>
      <w:pPr>
        <w:pStyle w:val="ListBullet"/>
      </w:pPr>
      <w:r>
        <w:t>Fidelidad: 57.98% (media equipo: 63.48%). Por debajo de la media.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6.00 (30 puntos Iron Man). Buen resultado.</w:t>
      </w:r>
    </w:p>
    <w:p/>
    <w:p>
      <w:pPr>
        <w:pStyle w:val="Heading1"/>
      </w:pPr>
      <w:r>
        <w:t>Procesos</w:t>
      </w:r>
    </w:p>
    <w:p>
      <w:r>
        <w:t>Sin datos registrados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Horch Lauden: posición 102. Requiere atención.</w:t>
      </w:r>
    </w:p>
    <w:p/>
    <w:p>
      <w:pPr>
        <w:pStyle w:val="Heading1"/>
      </w:pPr>
      <w:r>
        <w:t>Cuadro de Calidad CX 2026</w:t>
      </w:r>
    </w:p>
    <w:p>
      <w:r>
        <w:t>Sin datos registrados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Asesor</w:t>
      </w:r>
    </w:p>
    <w:p>
      <w:pPr>
        <w:pStyle w:val="ListBullet"/>
      </w:pPr>
      <w:r>
        <w:t>Service CAM Acum.: 11% (media equipo: 8%; bueno ≥8%) — en rango positivo</w:t>
      </w:r>
    </w:p>
    <w:p>
      <w:pPr>
        <w:pStyle w:val="ListBullet"/>
      </w:pPr>
      <w:r>
        <w:t>Multimedia Acum.: 5,0 (media equipo: 6,1; bueno ≥5)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Score SEM: 4,5 (media equipo: 6,2) — por debajo de la media</w:t>
      </w:r>
    </w:p>
    <w:p>
      <w:pPr>
        <w:pStyle w:val="ListBullet"/>
      </w:pPr>
      <w:r>
        <w:t>Diferidos Acum.: 1% (media equipo: 16%; bueno ≥8%) — por debajo del objetivo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80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1806"/>
          </w:tcPr>
          <w:p>
            <w:r>
              <w:t>Utilizar el Laser de desgaste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Foco en desgaste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Diferidos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