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VW Chapa — Abril 2026</w:t>
      </w:r>
    </w:p>
    <w:p>
      <w:pPr>
        <w:jc w:val="center"/>
      </w:pPr>
      <w:r>
        <w:rPr>
          <w:color w:val="444444"/>
          <w:sz w:val="24"/>
        </w:rPr>
        <w:t>Luis Ramos · Rivas VW Chapa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Variación recambios respecto a hace 2 años: +12.16%.</w:t>
      </w:r>
    </w:p>
    <w:p>
      <w:pPr>
        <w:pStyle w:val="ListBullet"/>
      </w:pPr>
      <w:r>
        <w:t>Variación mano de obra respecto a hace 2 años: +18.52%.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Proactividad: pendiente de ranking ICC Instalaciones 2026-04.</w:t>
      </w:r>
    </w:p>
    <w:p/>
    <w:p>
      <w:pPr>
        <w:pStyle w:val="Heading1"/>
      </w:pPr>
      <w:r>
        <w:t>Carrocería</w:t>
      </w:r>
    </w:p>
    <w:p>
      <w:r>
        <w:t>Sin datos registrados</w:t>
      </w:r>
    </w:p>
    <w:p/>
    <w:p>
      <w:pPr>
        <w:pStyle w:val="Heading1"/>
      </w:pPr>
      <w:r>
        <w:t>Personas</w:t>
      </w:r>
    </w:p>
    <w:p>
      <w:r>
        <w:t>Sin datos registrados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posición 23 | Iron Man ICC: posición 23 en el ranking de marca. Posición aceptable.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107. Requiere atención.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Venta cruzada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Chapa express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Registrar todos los kits de reparación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Reparacion de lunas. Y también hacer cursos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Productividad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Tiempo de ciclo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