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Canarias Chapa — Abril 2026</w:t>
      </w:r>
    </w:p>
    <w:p>
      <w:pPr>
        <w:jc w:val="center"/>
      </w:pPr>
      <w:r>
        <w:rPr>
          <w:color w:val="444444"/>
          <w:sz w:val="24"/>
        </w:rPr>
        <w:t>Pericles · Canarias Chapa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Variación recambios respecto a hace 2 años: -11.95%.</w:t>
      </w:r>
    </w:p>
    <w:p>
      <w:pPr>
        <w:pStyle w:val="ListBullet"/>
      </w:pPr>
      <w:r>
        <w:t>Variación mano de obra respecto a hace 2 años: -11.70%.</w:t>
      </w:r>
    </w:p>
    <w:p>
      <w:pPr>
        <w:pStyle w:val="ListBullet"/>
      </w:pPr>
      <w:r>
        <w:t>ICC Proactividad: pendiente de ranking ICC Instalaciones 2026-04.</w:t>
      </w:r>
    </w:p>
    <w:p/>
    <w:p>
      <w:pPr>
        <w:pStyle w:val="Heading1"/>
      </w:pPr>
      <w:r>
        <w:t>Carrocería</w:t>
      </w:r>
    </w:p>
    <w:p>
      <w:r>
        <w:t>Sin datos registrados</w:t>
      </w:r>
    </w:p>
    <w:p/>
    <w:p>
      <w:pPr>
        <w:pStyle w:val="Heading1"/>
      </w:pPr>
      <w:r>
        <w:t>Personas</w:t>
      </w:r>
    </w:p>
    <w:p>
      <w:r>
        <w:t>Sin datos registrados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posición 16 | Iron Man ICC: posición 16 en el ranking de marca. Posición aceptable.</w:t>
      </w:r>
    </w:p>
    <w:p>
      <w:pPr>
        <w:pStyle w:val="ListBullet"/>
      </w:pPr>
      <w:r>
        <w:t>Horch Lauden: posición 46. Posición aceptable.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Chapa Express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Reparacion de Lunas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Meter todos los códigos de reparación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Recuperación de siniestros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Mínimo empatar en Junio en Mano de obra y recambios.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Productividad 120%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Tiempo de ciclo de carrocería.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Atentos a la formación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