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Vara Chapa — Abril 2026</w:t>
      </w:r>
    </w:p>
    <w:p>
      <w:pPr>
        <w:jc w:val="center"/>
      </w:pPr>
      <w:r>
        <w:rPr>
          <w:color w:val="444444"/>
          <w:sz w:val="24"/>
        </w:rPr>
        <w:t>Pericles · Vara Chapa</w:t>
      </w:r>
    </w:p>
    <w:p>
      <w:pPr>
        <w:jc w:val="center"/>
      </w:pPr>
      <w:r>
        <w:rPr>
          <w:color w:val="888888"/>
          <w:sz w:val="20"/>
        </w:rPr>
        <w:t>Fecha: 07/05/2026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Variación recambios respecto a hace 2 años: -28.45%.</w:t>
      </w:r>
    </w:p>
    <w:p>
      <w:pPr>
        <w:pStyle w:val="ListBullet"/>
      </w:pPr>
      <w:r>
        <w:t>Variación mano de obra respecto a hace 2 años: -5.28%.</w:t>
      </w:r>
    </w:p>
    <w:p>
      <w:pPr>
        <w:pStyle w:val="ListBullet"/>
      </w:pPr>
      <w:r>
        <w:t>ICC Proactividad: pendiente de ranking ICC Instalaciones 2026-04.</w:t>
      </w:r>
    </w:p>
    <w:p/>
    <w:p>
      <w:pPr>
        <w:pStyle w:val="Heading1"/>
      </w:pPr>
      <w:r>
        <w:t>Carrocería</w:t>
      </w:r>
    </w:p>
    <w:p>
      <w:r>
        <w:t>Sin datos registrados</w:t>
      </w:r>
    </w:p>
    <w:p/>
    <w:p>
      <w:pPr>
        <w:pStyle w:val="Heading1"/>
      </w:pPr>
      <w:r>
        <w:t>Personas</w:t>
      </w:r>
    </w:p>
    <w:p>
      <w:r>
        <w:t>Sin datos registrados</w:t>
      </w:r>
    </w:p>
    <w:p/>
    <w:p>
      <w:pPr>
        <w:pStyle w:val="Heading1"/>
      </w:pPr>
      <w:r>
        <w:t>Rankings de marca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global: posición 92 | Iron Man ICC: posición 92 en el ranking de marca. Posición a mejorar.</w:t>
      </w:r>
    </w:p>
    <w:p>
      <w:pPr>
        <w:pStyle w:val="ListBullet"/>
      </w:pPr>
      <w:r>
        <w:t>Horch Lauden: posición 32. Posición aceptable.</w:t>
      </w:r>
    </w:p>
    <w:p/>
    <w:p>
      <w:pPr>
        <w:pStyle w:val="Heading1"/>
      </w:pPr>
      <w:r>
        <w:t>Cuadro de Calidad CX 2026</w:t>
      </w:r>
    </w:p>
    <w:p>
      <w:r>
        <w:t>Sin datos registrados</w:t>
      </w:r>
    </w:p>
    <w:p/>
    <w:p>
      <w:pPr>
        <w:pStyle w:val="Heading1"/>
      </w:pPr>
      <w:r>
        <w:t>Tareas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</w:tcPr>
          <w:p>
            <w:r>
              <w:rPr>
                <w:b/>
              </w:rPr>
              <w:t>Tarea</w:t>
            </w:r>
          </w:p>
        </w:tc>
        <w:tc>
          <w:tcPr>
            <w:tcW w:type="dxa" w:w="1806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Fecha límite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Observaciones</w:t>
            </w:r>
          </w:p>
        </w:tc>
        <w:tc>
          <w:tcPr>
            <w:tcW w:type="dxa" w:w="1806"/>
          </w:tcPr>
          <w:p>
            <w:r>
              <w:rPr>
                <w:b/>
              </w:rPr>
              <w:t>Grado de cumplimentación</w:t>
            </w:r>
          </w:p>
        </w:tc>
      </w:tr>
      <w:tr>
        <w:tc>
          <w:tcPr>
            <w:tcW w:type="dxa" w:w="1806"/>
          </w:tcPr>
          <w:p>
            <w:r>
              <w:t>Chapa Express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Reparacion de lunas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Meter todos los códigos de reparación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Recuperacion de siniestros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Mínimo empatar en Junio en Mano de obra y recambios.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Productividad 120%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Tiempo de ciclo de carrocería.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Atentos a la formación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