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Moncloa — Abril 2026</w:t>
      </w:r>
    </w:p>
    <w:p>
      <w:pPr>
        <w:jc w:val="center"/>
      </w:pPr>
      <w:r>
        <w:rPr>
          <w:color w:val="444444"/>
          <w:sz w:val="24"/>
        </w:rPr>
        <w:t>Raúl Muñoz · Moncloa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204.97 pts (posición 14/18 del ranking): por encima del objetivo de 200 pts.</w:t>
      </w:r>
    </w:p>
    <w:p>
      <w:pPr>
        <w:pStyle w:val="ListBullet"/>
      </w:pPr>
      <w:r>
        <w:t>Por encima de la media: Escobillas: 54.70 pts (media 52.9 pts) ✓ | Pastillas: 51.93 pts (media 49.5 pts) ✓.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Amortiguadores: 11.05 pts (media 19.6 pts) | Baterías: 9.94 pts (media 11.0 pts) | Discos: 16.57 pts (media 20.6 pts) | Neumáticos: 59.67 pts (media 75.7 pts) | Parabrisas: 1.10 pts (media 17.1 pts).</w:t>
      </w:r>
    </w:p>
    <w:p>
      <w:pPr>
        <w:pStyle w:val="ListBullet"/>
      </w:pPr>
      <w:r>
        <w:t>Full/Long Drive: 5 operaciones (media equipo: 11.1). Por debajo de la media.</w:t>
      </w:r>
    </w:p>
    <w:p>
      <w:pPr>
        <w:pStyle w:val="ListBullet"/>
      </w:pPr>
      <w:r>
        <w:t>Fidelidad: 57.84% (media equipo: 63.48%).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(20 puntos Iron Man). Cumple el mínimo recomendado (5).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107. Requiere atención.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Score SEM: 7,9 (media equipo: 6,2) — por encima de la media</w:t>
      </w:r>
    </w:p>
    <w:p>
      <w:pPr>
        <w:pStyle w:val="ListBullet"/>
      </w:pPr>
      <w:r>
        <w:t>Diferidos Acum.: 15% (media equipo: 16%; bueno ≥8%) — en rango positivo</w:t>
      </w:r>
    </w:p>
    <w:p>
      <w:pPr>
        <w:pStyle w:val="ListBullet"/>
      </w:pPr>
      <w:r>
        <w:t>Multimedia Acum.: 5,1 (media equipo: 6,1;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Service CAM Acum.: 4% (media equipo: 8%; bueno ≥8%) — por debajo del objetivo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