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Ayala — Abril 2026</w:t>
      </w:r>
    </w:p>
    <w:p>
      <w:pPr>
        <w:jc w:val="center"/>
      </w:pPr>
      <w:r>
        <w:rPr>
          <w:color w:val="444444"/>
          <w:sz w:val="24"/>
        </w:rPr>
        <w:t>Alberto Martínez · Ayala</w:t>
      </w:r>
    </w:p>
    <w:p>
      <w:pPr>
        <w:jc w:val="center"/>
      </w:pPr>
      <w:r>
        <w:rPr>
          <w:color w:val="888888"/>
          <w:sz w:val="20"/>
        </w:rPr>
        <w:t>Fecha: 06/05/2026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Desgaste total 233.40% (posición 4/7 del ranking): por encima del umbral de referencia (220%).</w:t>
      </w:r>
    </w:p>
    <w:p>
      <w:pPr>
        <w:pStyle w:val="ListBullet"/>
      </w:pPr>
      <w:r>
        <w:t>Por encima de la media: Escobillas: 78.56% (media 50.78%) ✓ | Neumáticos: 77.73% (media 72.66%) ✓.</w:t>
      </w:r>
    </w:p>
    <w:p>
      <w:pPr>
        <w:pStyle w:val="ListBullet"/>
      </w:pPr>
      <w:r>
        <w:t>Variación recambios respecto a hace 2 años: +0.17%.</w:t>
      </w:r>
    </w:p>
    <w:p>
      <w:pPr>
        <w:pStyle w:val="ListBullet"/>
      </w:pPr>
      <w:r>
        <w:t>Variación mano de obra respecto a hace 2 años: +21.40%.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Por debajo de la media: Amortiguadores: 9.48% (media 17.96%) | Baterías: 7.84% (media 9.45%) | Discos: 12.37% (media 18.44%) | Parabrisas: 0.00% (media 7.61%) | Pastillas: 47.42% (media 50.60%).</w:t>
      </w:r>
    </w:p>
    <w:p>
      <w:pPr>
        <w:pStyle w:val="ListBullet"/>
      </w:pPr>
      <w:r>
        <w:t>ICC Proactividad: pendiente de ranking ICC Instalaciones 2026-04.</w:t>
      </w:r>
    </w:p>
    <w:p/>
    <w:p>
      <w:pPr>
        <w:pStyle w:val="Heading1"/>
      </w:pPr>
      <w:r>
        <w:t>Digital</w:t>
      </w:r>
    </w:p>
    <w:p>
      <w: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7.00 (30 puntos Iron Man). Resultado excelente.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 Calidad: pendiente de ranking ICC Instalaciones 2026-04.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103.11% sobre objetivo 105% (-1.89pp). Objetivo no alcanzado.</w:t>
      </w:r>
    </w:p>
    <w:p/>
    <w:p>
      <w:pPr>
        <w:pStyle w:val="Heading1"/>
      </w:pPr>
      <w:r>
        <w:t>Recursos generales</w:t>
      </w:r>
    </w:p>
    <w:p>
      <w:r>
        <w:t>Sin datos registrados</w:t>
      </w:r>
    </w:p>
    <w:p/>
    <w:p>
      <w:pPr>
        <w:pStyle w:val="Heading1"/>
      </w:pPr>
      <w:r>
        <w:t>Carrocería</w:t>
      </w:r>
    </w:p>
    <w:p>
      <w:r>
        <w:t>Sin datos registrados</w:t>
      </w:r>
    </w:p>
    <w:p/>
    <w:p>
      <w:pPr>
        <w:pStyle w:val="Heading1"/>
      </w:pPr>
      <w:r>
        <w:t>Personas</w:t>
      </w:r>
    </w:p>
    <w:p>
      <w:r>
        <w:t>Sin datos registrados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ICC global: posición 6 | Iron Man ICC: posición 6 en el ranking de marca. Posición destacada (top 10).</w:t>
      </w:r>
    </w:p>
    <w:p>
      <w:pPr>
        <w:pStyle w:val="ListBullet"/>
      </w:pPr>
      <w:r>
        <w:t>Horch Lauden: posición 39. Posición aceptable.</w:t>
      </w:r>
    </w:p>
    <w:p/>
    <w:p>
      <w:pPr>
        <w:pStyle w:val="Heading1"/>
      </w:pPr>
      <w:r>
        <w:t>Cuadro de Calidad CX 2026</w:t>
      </w:r>
    </w:p>
    <w:p>
      <w:r>
        <w:t>Sin datos registrados</w:t>
      </w:r>
    </w:p>
    <w:p/>
    <w:p>
      <w:pPr>
        <w:pStyle w:val="Heading1"/>
      </w:pPr>
      <w:r>
        <w:t>ONE KVPS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Instalación ONE: Ayala (00159)</w:t>
      </w:r>
    </w:p>
    <w:p>
      <w:pPr>
        <w:pStyle w:val="ListBullet"/>
      </w:pPr>
      <w:r>
        <w:t>Score SEM: 9,2 (media equipo: 7,3) — por encima de la media</w:t>
      </w:r>
    </w:p>
    <w:p>
      <w:pPr>
        <w:pStyle w:val="ListBullet"/>
      </w:pPr>
      <w:r>
        <w:t>Service CAM Acum.: 15% (media equipo: 8%; bueno ≥8%) — en rango positivo</w:t>
      </w:r>
    </w:p>
    <w:p>
      <w:pPr>
        <w:pStyle w:val="ListBullet"/>
      </w:pPr>
      <w:r>
        <w:t>Diferidos Acum.: 25% (media equipo: 16%; bueno ≥8%) — en rango positivo</w:t>
      </w:r>
    </w:p>
    <w:p>
      <w:pPr>
        <w:pStyle w:val="ListBullet"/>
      </w:pPr>
      <w:r>
        <w:t>Multimedia Acum.: 6,0 (media equipo: 6,2; bueno ≥5) — en rango positivo</w:t>
      </w:r>
    </w:p>
    <w:p/>
    <w:p>
      <w:pPr>
        <w:pStyle w:val="Heading1"/>
      </w:pPr>
      <w:r>
        <w:t>Tareas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</w:rPr>
              <w:t>Tarea</w:t>
            </w:r>
          </w:p>
        </w:tc>
        <w:tc>
          <w:tcPr>
            <w:tcW w:type="dxa" w:w="2257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Fecha límite</w:t>
            </w:r>
          </w:p>
        </w:tc>
        <w:tc>
          <w:tcPr>
            <w:tcW w:type="dxa" w:w="2257"/>
          </w:tcPr>
          <w:p>
            <w:r>
              <w:rPr>
                <w:b/>
              </w:rPr>
              <w:t>Grado de cumplimentación</w:t>
            </w:r>
          </w:p>
        </w:tc>
      </w:tr>
      <w:tr>
        <w:tc>
          <w:tcPr>
            <w:tcW w:type="dxa" w:w="2257"/>
          </w:tcPr>
          <w:p>
            <w:r>
              <w:t>Utilizar el Laser de desgaste.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Facturación de Recambios a dos años.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Deferencias y tablas.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Transporte alternativo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Productividad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Ocupacion.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Score One.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  <w:tr>
        <w:tc>
          <w:tcPr>
            <w:tcW w:type="dxa" w:w="2257"/>
          </w:tcPr>
          <w:p>
            <w:r>
              <w:t>Service Cam</w:t>
            </w:r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  <w:tc>
          <w:tcPr>
            <w:tcW w:type="dxa" w:w="2257"/>
          </w:tcPr>
          <w:p>
            <w:r/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