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Ayala — Abril 2026</w:t>
      </w:r>
    </w:p>
    <w:p>
      <w:pPr>
        <w:jc w:val="center"/>
      </w:pPr>
      <w:r>
        <w:rPr>
          <w:color w:val="444444"/>
          <w:sz w:val="24"/>
        </w:rPr>
        <w:t>Carlos Aguilar · Ayala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202.46 pts (posición 15/18 del ranking): por encima del objetivo de 200 pts.</w:t>
      </w:r>
    </w:p>
    <w:p>
      <w:pPr>
        <w:pStyle w:val="ListBullet"/>
      </w:pPr>
      <w:r>
        <w:t>Por encima de la media: Escobillas: 77.05 pts (media 52.9 pts) ✓.</w:t>
      </w:r>
    </w:p>
    <w:p>
      <w:pPr>
        <w:pStyle w:val="ListBullet"/>
      </w:pPr>
      <w:r>
        <w:t>Fidelidad: 65.74%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0.82 pts (media 19.6 pts) | Baterías: 4.51 pts (media 11.0 pts) | Discos: 7.38 pts (media 20.6 pts) | Neumáticos: 64.34 pts (media 75.7 pts) | Parabrisas: 4.10 pts (media 17.1 pts) | Pastillas: 44.26 pts (media 49.5 pts).</w:t>
      </w:r>
    </w:p>
    <w:p>
      <w:pPr>
        <w:pStyle w:val="ListBullet"/>
      </w:pPr>
      <w:r>
        <w:t>Full/Long Drive: 6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7.00 (30 puntos Iron Man). Resultado excelente.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174.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Score SEM: 7,5 (media equipo: 6,2) — por encima de la media</w:t>
      </w:r>
    </w:p>
    <w:p>
      <w:pPr>
        <w:pStyle w:val="ListBullet"/>
      </w:pPr>
      <w:r>
        <w:t>Service CAM Acum.: 33% (media equipo: 8%; bueno ≥8%) — en rango positivo</w:t>
      </w:r>
    </w:p>
    <w:p>
      <w:pPr>
        <w:pStyle w:val="ListBullet"/>
      </w:pPr>
      <w:r>
        <w:t>Diferidos Acum.: 55% (media equipo: 16%; bueno ≥8%) — en rango positivo</w:t>
      </w:r>
    </w:p>
    <w:p>
      <w:pPr>
        <w:pStyle w:val="ListBullet"/>
      </w:pPr>
      <w:r>
        <w:t>Multimedia Acum.: 6,8 (media equipo: 6,1;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Foco en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Mirar las condiciones de la copa horch. Están en el portal interno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Full drive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cam. Videos en one.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