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Rivas Audi — Abril 2026</w:t>
      </w:r>
    </w:p>
    <w:p>
      <w:pPr>
        <w:jc w:val="center"/>
      </w:pPr>
      <w:r>
        <w:rPr>
          <w:color w:val="444444"/>
          <w:sz w:val="24"/>
        </w:rPr>
        <w:t>Emilio · Rivas Audi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264.34% (posición 1/7 del ranking): por encima del umbral de referencia (220%).</w:t>
      </w:r>
    </w:p>
    <w:p>
      <w:pPr>
        <w:pStyle w:val="ListBullet"/>
      </w:pPr>
      <w:r>
        <w:t>Por encima de la media: Amortiguadores: 38.17% (media 17.96%) ✓ | Baterías: 10.75% (media 9.45%) ✓ | Discos: 25.45% (media 18.44%) ✓ | Escobillas: 51.97% (media 50.78%) ✓ | Parabrisas: 17.74% (media 7.61%) ✓ | Pastillas: 57.35% (media 50.60%) ✓.</w:t>
      </w:r>
    </w:p>
    <w:p>
      <w:pPr>
        <w:pStyle w:val="ListBullet"/>
      </w:pPr>
      <w:r>
        <w:t>Variación recambios respecto a hace 2 años: +32.42%.</w:t>
      </w:r>
    </w:p>
    <w:p>
      <w:pPr>
        <w:pStyle w:val="ListBullet"/>
      </w:pPr>
      <w:r>
        <w:t>Variación mano de obra respecto a hace 2 años: +34.42%.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Neumáticos: 62.90% (media 72.66%).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(20 puntos Iron Man). Cumple el mínimo recomendado (5).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Calidad: pendiente de ranking ICC Instalaciones 2026-04.</w:t>
      </w:r>
    </w:p>
    <w:p/>
    <w:p>
      <w:pPr>
        <w:pStyle w:val="Heading1"/>
      </w:pPr>
      <w:r>
        <w:t>Procesos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Productividad: 92.45% sobre objetivo 93% (-0.55pp). Objetivo no alcanzado.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3 | Iron Man ICC: posición 3 en el ranking de marca. Posición destacada (top 10).</w:t>
      </w:r>
    </w:p>
    <w:p>
      <w:pPr>
        <w:pStyle w:val="ListBullet"/>
      </w:pPr>
      <w:r>
        <w:t>Horch Lauden: posición 38. Posición aceptable.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Rivas Audi (00158)</w:t>
      </w:r>
    </w:p>
    <w:p>
      <w:pPr>
        <w:pStyle w:val="ListBullet"/>
      </w:pPr>
      <w:r>
        <w:t>Service CAM Acum.: 13% (media equipo: 8%; bueno ≥8%) — en rango positivo</w:t>
      </w:r>
    </w:p>
    <w:p>
      <w:pPr>
        <w:pStyle w:val="ListBullet"/>
      </w:pPr>
      <w:r>
        <w:t>Diferidos Acum.: 30% (media equipo: 16%; bueno ≥8%) — en rango positivo</w:t>
      </w:r>
    </w:p>
    <w:p>
      <w:pPr>
        <w:pStyle w:val="ListBullet"/>
      </w:pPr>
      <w:r>
        <w:t>Multimedia Acum.: 6,8 (media equipo: 6,2;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6,8 (media equipo: 7,3) — por debajo de la media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Puntos de Calidad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Indice de reclamaciones a clientes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Productividad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Ocupación Platon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Mantenimientos &lt;24h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Score One.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Service Cam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