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Audi — Abril 2026</w:t>
      </w:r>
    </w:p>
    <w:p>
      <w:pPr>
        <w:jc w:val="center"/>
      </w:pPr>
      <w:r>
        <w:rPr>
          <w:color w:val="444444"/>
          <w:sz w:val="24"/>
        </w:rPr>
        <w:t>Estefanía · Rivas Audi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341.67 pts (posición 1/18 del ranking): por encima del objetivo de 200 pts.</w:t>
      </w:r>
    </w:p>
    <w:p>
      <w:pPr>
        <w:pStyle w:val="ListBullet"/>
      </w:pPr>
      <w:r>
        <w:t>Por encima de la media: Baterías: 25.00 pts (media 11.0 pts) ✓ | Discos: 33.33 pts (media 20.6 pts) ✓ | Neumáticos: 108.33 pts (media 75.7 pts) ✓ | Parabrisas: 125.00 pts (media 17.1 pts) ✓.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8.33 pts (media 19.6 pts) | Escobillas: 8.33 pts (media 52.9 pts) | Pastillas: 33.33 pts (media 49.5 pts).</w:t>
      </w:r>
    </w:p>
    <w:p>
      <w:pPr>
        <w:pStyle w:val="ListBullet"/>
      </w:pPr>
      <w:r>
        <w:t>Full/Long Drive: 0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Horch Lauden: sin posición registrada en la competición de marca.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Service CAM Acum.: 13% (media equipo: 8%; bueno ≥8%) — en rango positivo</w:t>
      </w:r>
    </w:p>
    <w:p>
      <w:pPr>
        <w:pStyle w:val="ListBullet"/>
      </w:pPr>
      <w:r>
        <w:t>Diferidos Acum.: 20% (media equipo: 16%; bueno ≥8%)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4,0 (media equipo: 6,2) — por debajo de la media</w:t>
      </w:r>
    </w:p>
    <w:p>
      <w:pPr>
        <w:pStyle w:val="ListBullet"/>
      </w:pPr>
      <w:r>
        <w:t>Multimedia Acum.: 4,0 (media equipo: 6,1; bueno ≥5) — en rango regular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Utilizar el Laser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Usar bien herramienta de ONE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Connect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Puntos de calidad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Mirar familias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Health check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