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Industriales — Abril 2026</w:t>
      </w:r>
    </w:p>
    <w:p>
      <w:pPr>
        <w:jc w:val="center"/>
      </w:pPr>
      <w:r>
        <w:rPr>
          <w:color w:val="444444"/>
          <w:sz w:val="24"/>
        </w:rPr>
        <w:t>Fernando · Industriales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t>Sin datos registrados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Rivas VW / Industriales (30070)</w:t>
      </w:r>
    </w:p>
    <w:p>
      <w:pPr>
        <w:pStyle w:val="ListBullet"/>
      </w:pPr>
      <w:r>
        <w:t>Multimedia Acum.: 6,6 (media equipo: 6,2;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6,1 (media equipo: 7,3) — por debajo de la media</w:t>
      </w:r>
    </w:p>
    <w:p>
      <w:pPr>
        <w:pStyle w:val="ListBullet"/>
      </w:pPr>
      <w:r>
        <w:t>Service CAM Acum.: 7% (media equipo: 8%; bueno ≥8%) — en rango regular</w:t>
      </w:r>
    </w:p>
    <w:p>
      <w:pPr>
        <w:pStyle w:val="ListBullet"/>
      </w:pPr>
      <w:r>
        <w:t>Diferidos Acum.: 3% (media equipo: 16%;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Radar y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Deferencias y demás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One Score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Servicio de Movilidad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Mantenimiento &lt;24h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Diferidos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