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Javier Pina · Rivas VW / Industriales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200.77 pts (posición 16/18 del ranking): por encima del objetivo de 200 pts.</w:t>
      </w:r>
    </w:p>
    <w:p>
      <w:pPr>
        <w:pStyle w:val="ListBullet"/>
      </w:pPr>
      <w:r>
        <w:t>Por encima de la media: Baterías: 16.15 pts (media 11.0 pts) ✓ | Parabrisas: 18.46 pts (media 17.1 pts) ✓.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7.69 pts (media 19.6 pts) | Discos: 20.00 pts (media 20.6 pts) | Escobillas: 24.62 pts (media 52.9 pts) | Neumáticos: 71.54 pts (media 75.7 pts) | Pastillas: 42.31 pts (media 49.5 pts).</w:t>
      </w:r>
    </w:p>
    <w:p>
      <w:pPr>
        <w:pStyle w:val="ListBullet"/>
      </w:pPr>
      <w:r>
        <w:t>Full/Long Drive: 6 operaciones (media equipo: 11.1). Por debajo de la media.</w:t>
      </w:r>
    </w:p>
    <w:p>
      <w:pPr>
        <w:pStyle w:val="ListBullet"/>
      </w:pPr>
      <w:r>
        <w:t>Fidelidad: 57.98%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Service CAM Acum.: 11% (media equipo: 8%; bueno ≥8%) — en rango positivo</w:t>
      </w:r>
    </w:p>
    <w:p>
      <w:pPr>
        <w:pStyle w:val="ListBullet"/>
      </w:pPr>
      <w:r>
        <w:t>Multimedia Acum.: 5,0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4,5 (media equipo: 6,2) — por debajo de la media</w:t>
      </w:r>
    </w:p>
    <w:p>
      <w:pPr>
        <w:pStyle w:val="ListBullet"/>
      </w:pPr>
      <w:r>
        <w:t>Diferidos Acum.: 1%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Foco en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Diferidos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