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Moncloa — Abril 2026</w:t>
      </w:r>
    </w:p>
    <w:p>
      <w:pPr>
        <w:jc w:val="center"/>
      </w:pPr>
      <w:r>
        <w:rPr>
          <w:color w:val="444444"/>
          <w:sz w:val="24"/>
        </w:rPr>
        <w:t>José María Campos · Moncloa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212.56 pts (posición 13/18 del ranking): por encima del objetivo de 200 pts.</w:t>
      </w:r>
    </w:p>
    <w:p>
      <w:pPr>
        <w:pStyle w:val="ListBullet"/>
      </w:pPr>
      <w:r>
        <w:t>Por encima de la media: Neumáticos: 92.96 pts (media 75.7 pts) ✓ | Pastillas: 63.82 pts (media 49.5 pts) ✓.</w:t>
      </w:r>
    </w:p>
    <w:p>
      <w:pPr>
        <w:pStyle w:val="ListBullet"/>
      </w:pPr>
      <w:r>
        <w:t>Fidelidad: 66.07%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16.08 pts (media 19.6 pts) | Baterías: 6.03 pts (media 11.0 pts) | Discos: 17.09 pts (media 20.6 pts) | Escobillas: 11.56 pts (media 52.9 pts) | Parabrisas: 5.03 pts (media 17.1 pts).</w:t>
      </w:r>
    </w:p>
    <w:p>
      <w:pPr>
        <w:pStyle w:val="ListBullet"/>
      </w:pPr>
      <w:r>
        <w:t>Full/Long Drive: 7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244.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7,0 (media equipo: 6,2) — por encima de la media</w:t>
      </w:r>
    </w:p>
    <w:p>
      <w:pPr>
        <w:pStyle w:val="ListBullet"/>
      </w:pPr>
      <w:r>
        <w:t>Service CAM Acum.: 13% (media equipo: 8%; bueno ≥8%) — en rango positivo</w:t>
      </w:r>
    </w:p>
    <w:p>
      <w:pPr>
        <w:pStyle w:val="ListBullet"/>
      </w:pPr>
      <w:r>
        <w:t>Diferidos Acum.: 24% (media equipo: 16%; bueno ≥8%) — en rango positivo</w:t>
      </w:r>
    </w:p>
    <w:p>
      <w:pPr>
        <w:pStyle w:val="ListBullet"/>
      </w:pPr>
      <w:r>
        <w:t>Multimedia Acum.: 5,0 (media equipo: 6,1;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