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Chapa — Abril 2026</w:t>
      </w:r>
    </w:p>
    <w:p>
      <w:pPr>
        <w:jc w:val="center"/>
      </w:pPr>
      <w:r>
        <w:rPr>
          <w:color w:val="444444"/>
          <w:sz w:val="24"/>
        </w:rPr>
        <w:t>Luis Ramos · Rivas Audi Chapa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Variación recambios respecto a hace 2 años: +41.80%.</w:t>
      </w:r>
    </w:p>
    <w:p>
      <w:pPr>
        <w:pStyle w:val="ListBullet"/>
      </w:pPr>
      <w:r>
        <w:t>Variación mano de obra respecto a hace 2 años: +40.64%.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15 | Iron Man ICC: posición 15 en el ranking de marca. Posición aceptable.</w:t>
      </w:r>
    </w:p>
    <w:p>
      <w:pPr>
        <w:pStyle w:val="ListBullet"/>
      </w:pPr>
      <w:r>
        <w:t>Horch Lauden: posición 38.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Mirar comentarios de Calidad en el portal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Chapa express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Reparacion de lunas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Registrar todos los kits de reparación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Recuperacion de siniestros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