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VW Chapa — Abril 2026</w:t>
      </w:r>
    </w:p>
    <w:p>
      <w:pPr>
        <w:jc w:val="center"/>
      </w:pPr>
      <w:r>
        <w:rPr>
          <w:color w:val="444444"/>
          <w:sz w:val="24"/>
        </w:rPr>
        <w:t>Luis Ramos · Rivas VW Chapa</w:t>
      </w:r>
    </w:p>
    <w:p>
      <w:pPr>
        <w:jc w:val="center"/>
      </w:pPr>
      <w:r>
        <w:rPr>
          <w:color w:val="888888"/>
          <w:sz w:val="20"/>
        </w:rPr>
        <w:t>Fecha: 06/05/2026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Variación recambios respecto a hace 2 años: +12.16%.</w:t>
      </w:r>
    </w:p>
    <w:p>
      <w:pPr>
        <w:pStyle w:val="ListBullet"/>
      </w:pPr>
      <w:r>
        <w:t>Variación mano de obra respecto a hace 2 años: +18.52%.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23 | Iron Man ICC: posición 23 en el ranking de marca. Posición aceptable.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107.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2257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2257"/>
          </w:tcPr>
          <w:p>
            <w:r>
              <w:t>Venta cruzada de desgaste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Chapa express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Registrar todos los kits de reparación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Reparacion de lunas. Y también hacer cursos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Productividad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Tiempo de ciclo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