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Vara Chapa — Abril 2026</w:t>
      </w:r>
    </w:p>
    <w:p>
      <w:pPr>
        <w:jc w:val="center"/>
      </w:pPr>
      <w:r>
        <w:rPr>
          <w:color w:val="444444"/>
          <w:sz w:val="24"/>
        </w:rPr>
        <w:t>Pericles · Vara Chapa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Variación recambios respecto a hace 2 años: -28.45%.</w:t>
      </w:r>
    </w:p>
    <w:p>
      <w:pPr>
        <w:pStyle w:val="ListBullet"/>
      </w:pPr>
      <w:r>
        <w:t>Variación mano de obra respecto a hace 2 años: -5.28%.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92 | Iron Man ICC: posición 92 en el ranking de marca. Posición a mejorar.</w:t>
      </w:r>
    </w:p>
    <w:p>
      <w:pPr>
        <w:pStyle w:val="ListBullet"/>
      </w:pPr>
      <w:r>
        <w:t>Horch Lauden: posición 32.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Chapa Express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Reparacion de lunas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Meter todos los códigos de reparación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Recuperacion de siniestros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Mínimo empatar en Junio en Mano de obra y recambios.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Productividad 120%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Tiempo de ciclo de carrocería.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Atentos a la formación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