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Abril 2026</w:t>
      </w:r>
    </w:p>
    <w:p>
      <w:pPr>
        <w:jc w:val="center"/>
      </w:pPr>
      <w:r>
        <w:rPr>
          <w:color w:val="444444"/>
          <w:sz w:val="24"/>
        </w:rPr>
        <w:t>Taboada · Canarias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244.44 pts (posición 11/18 del ranking): por encima del objetivo de 200 pts.</w:t>
      </w:r>
    </w:p>
    <w:p>
      <w:pPr>
        <w:pStyle w:val="ListBullet"/>
      </w:pPr>
      <w:r>
        <w:t>Por encima de la media: Baterías: 15.87 pts (media 11.0 pts) ✓ | Discos: 26.98 pts (media 20.6 pts) ✓ | Escobillas: 55.56 pts (media 52.9 pts) ✓ | Parabrisas: 21.43 pts (media 17.1 pts) ✓.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7.94 pts (media 19.6 pts) | Neumáticos: 68.25 pts (media 75.7 pts) | Pastillas: 48.41 pts (media 49.5 pts).</w:t>
      </w:r>
    </w:p>
    <w:p>
      <w:pPr>
        <w:pStyle w:val="ListBullet"/>
      </w:pPr>
      <w:r>
        <w:t>Full/Long Drive: 11 operaciones (media equipo: 11.1). Por debajo de la media.</w:t>
      </w:r>
    </w:p>
    <w:p>
      <w:pPr>
        <w:pStyle w:val="ListBullet"/>
      </w:pPr>
      <w:r>
        <w:t>Fidelidad: 59.65% (media equipo: 63.48%).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65. Requiere atención.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Diferidos Acum.: 11% (media equipo: 16%; bueno ≥8%)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3,9 (media equipo: 6,2) — por debajo de la media</w:t>
      </w:r>
    </w:p>
    <w:p>
      <w:pPr>
        <w:pStyle w:val="ListBullet"/>
      </w:pPr>
      <w:r>
        <w:t>Service CAM Acum.: 0% (media equipo: 8%; bueno ≥8%) — por debajo del objetivo</w:t>
      </w:r>
    </w:p>
    <w:p>
      <w:pPr>
        <w:pStyle w:val="ListBullet"/>
      </w:pPr>
      <w:r>
        <w:t>Multimedia Acum.: 1,2 (media equipo: 6,1; bueno ≥5)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Mejorar en todos los KPIS de One.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Foco en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Connect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Mirar condiciones de la copa horch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Diferidos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Multimedia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