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Ayala — Abril 2026</w:t>
      </w:r>
    </w:p>
    <w:p>
      <w:pPr>
        <w:jc w:val="center"/>
      </w:pPr>
      <w:r>
        <w:rPr>
          <w:color w:val="444444"/>
          <w:sz w:val="24"/>
        </w:rPr>
        <w:t>Alberto Martínez · Ayala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272.20 pts (posición 5/18 del ranking): por encima del objetivo de 200 pts.</w:t>
      </w:r>
    </w:p>
    <w:p>
      <w:pPr>
        <w:pStyle w:val="ListBullet"/>
      </w:pPr>
      <w:r>
        <w:t>Por encima de la media: Baterías: 11.20 pts (media 11.0 pts) ✓ | Escobillas: 80.08 pts (media 52.9 pts) ✓ | Neumáticos: 92.12 pts (media 75.7 pts) ✓ | Pastillas: 50.62 pts (media 49.5 pts) ✓.</w:t>
      </w:r>
    </w:p>
    <w:p>
      <w:pPr>
        <w:pStyle w:val="ListBullet"/>
      </w:pPr>
      <w:r>
        <w:t>Fidelidad: 69.54%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18.26 pts (media 19.6 pts) | Discos: 17.43 pts (media 20.6 pts) | Parabrisas: 2.49 pts (media 17.1 pts).</w:t>
      </w:r>
    </w:p>
    <w:p>
      <w:pPr>
        <w:pStyle w:val="ListBullet"/>
      </w:pPr>
      <w:r>
        <w:t>Full/Long Drive: 6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(30 puntos Iron Man). Resultado excelente.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250. Requiere atención.</w:t>
      </w:r>
    </w:p>
    <w:p/>
    <w:p>
      <w:pPr>
        <w:pStyle w:val="Heading1"/>
      </w:pPr>
      <w:r>
        <w:t>Cuadro de Calidad CX 2026</w:t>
      </w:r>
    </w:p>
    <w:p>
      <w:r>
        <w:t>Ayala (51AQ2 AU) — Audi Service</w:t>
      </w:r>
    </w:p>
    <w:p>
      <w:r>
        <w:t>Total: 7/8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4,91 — 2/2 pts  |  Referencia: 0pts &lt;4,60 | 1pt ≥4,60 | 2pts ≥4,80</w:t>
      </w:r>
    </w:p>
    <w:p>
      <w:pPr>
        <w:pStyle w:val="ListBullet"/>
      </w:pPr>
      <w:r>
        <w:t>Medidas de Servicio (EC28): 0,00% — 2/2 pts  |  Referencia: 0pts &gt;5% | 1pt ≤5% | 2pts ≤1%</w:t>
      </w:r>
    </w:p>
    <w:p>
      <w:pPr>
        <w:pStyle w:val="ListBullet"/>
      </w:pPr>
      <w:r>
        <w:t>Conectividad Posventa: 47,30%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Información Proceso (TRS): 82,61% — 1/2 pts  |  Referencia: 0pts &lt;80% | 1pt ≥80% | 2pts ≥90%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6,3 (media equipo: 6,2) — por encima de la media</w:t>
      </w:r>
    </w:p>
    <w:p>
      <w:pPr>
        <w:pStyle w:val="ListBullet"/>
      </w:pPr>
      <w:r>
        <w:t>Multimedia Acum.: 5,3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0% (media equipo: 8%; bueno ≥8%) — por debajo del objetivo</w:t>
      </w:r>
    </w:p>
    <w:p>
      <w:pPr>
        <w:pStyle w:val="ListBullet"/>
      </w:pPr>
      <w:r>
        <w:t>Diferidos Acum.: 2%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Full drive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condiciones de la copa horch. Esta en el portal interno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Kpis de one arriba indicados.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