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Vara — Abril 2026</w:t>
      </w:r>
    </w:p>
    <w:p>
      <w:pPr>
        <w:jc w:val="center"/>
      </w:pPr>
      <w:r>
        <w:rPr>
          <w:color w:val="444444"/>
          <w:sz w:val="24"/>
        </w:rPr>
        <w:t>Carlos · Vara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262.77% (posición 2/7 del ranking): por encima del umbral de referencia (220%).</w:t>
      </w:r>
    </w:p>
    <w:p>
      <w:pPr>
        <w:pStyle w:val="ListBullet"/>
      </w:pPr>
      <w:r>
        <w:t>Por encima de la media: Amortiguadores: 23.99% (media 17.96%) ✓ | Baterías: 9.50% (media 9.45%) ✓ | Discos: 22.74% (media 18.44%) ✓ | Escobillas: 67.60% (media 50.78%) ✓ | Neumáticos: 86.45% (media 72.66%) ✓ | Parabrisas: 8.41% (media 7.61%) ✓.</w:t>
      </w:r>
    </w:p>
    <w:p>
      <w:pPr>
        <w:pStyle w:val="ListBullet"/>
      </w:pPr>
      <w:r>
        <w:t>Variación recambios respecto a hace 2 años: +26.48%.</w:t>
      </w:r>
    </w:p>
    <w:p>
      <w:pPr>
        <w:pStyle w:val="ListBullet"/>
      </w:pPr>
      <w:r>
        <w:t>Variación mano de obra respecto a hace 2 años: +6.39%.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Pastillas: 44.08% (media 50.60%).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Calidad: pendiente de ranking ICC Instalaciones 2026-04.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91.23% sobre objetivo 93% (-1.77pp). Objetivo no alcanzado.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24 | Iron Man ICC: posición 24 en el ranking de marca. Posición aceptable.</w:t>
      </w:r>
    </w:p>
    <w:p>
      <w:pPr>
        <w:pStyle w:val="ListBullet"/>
      </w:pPr>
      <w:r>
        <w:t>Horch Lauden: posición 32. Posición aceptable.</w:t>
      </w:r>
    </w:p>
    <w:p/>
    <w:p>
      <w:pPr>
        <w:pStyle w:val="Heading1"/>
      </w:pPr>
      <w:r>
        <w:t>Cuadro de Calidad CX 2026</w:t>
      </w:r>
    </w:p>
    <w:p>
      <w:r>
        <w:t>Vara (0311Q VW) — VW Turismos</w:t>
      </w:r>
    </w:p>
    <w:p>
      <w: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(GBP): 100,00% — 2/2 pts  |  Referencia: 0pts &lt;80% | 1pt ≥80% | 2pts 100%</w:t>
      </w:r>
    </w:p>
    <w:p>
      <w:pPr>
        <w:pStyle w:val="ListBullet"/>
      </w:pPr>
      <w:r>
        <w:t>Medidas de Servicio (EC28): 0,97% — 2/2 pts  |  Referencia: 0pts &gt;5% | 1pt ≤5% | 2pts ≤3%</w:t>
      </w:r>
    </w:p>
    <w:p>
      <w:pPr>
        <w:pStyle w:val="ListBullet"/>
      </w:pPr>
      <w:r>
        <w:t>Club Volkswagen Postventa: 6,08%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Conectividad Posventa: 10,90% — 0/2 pts  |  Referencia: 0pts &lt;25% | 1pt ≥25% | 2pts ≥40%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Vara (00982)</w:t>
      </w:r>
    </w:p>
    <w:p>
      <w:pPr>
        <w:pStyle w:val="ListBullet"/>
      </w:pPr>
      <w:r>
        <w:t>Diferidos Acum.: 10% (media equipo: 16%; bueno ≥8%) — en rango positivo</w:t>
      </w:r>
    </w:p>
    <w:p>
      <w:pPr>
        <w:pStyle w:val="ListBullet"/>
      </w:pPr>
      <w:r>
        <w:t>Multimedia Acum.: 6,8 (media equipo: 6,2;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7,3 (media equipo: 7,3) — por debajo de la media</w:t>
      </w:r>
    </w:p>
    <w:p>
      <w:pPr>
        <w:pStyle w:val="ListBullet"/>
      </w:pPr>
      <w:r>
        <w:t>Service CAM Acum.: 5% (media equipo: 8%; bueno ≥8%) — en rango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Conectividad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Puntos de calidad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Recogida y entrega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Productividad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Mantenimiento en 24 horas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Formacion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