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Audi — Abril 2026</w:t>
      </w:r>
    </w:p>
    <w:p>
      <w:pPr>
        <w:jc w:val="center"/>
      </w:pPr>
      <w:r>
        <w:rPr>
          <w:color w:val="444444"/>
          <w:sz w:val="24"/>
        </w:rPr>
        <w:t>Estefanía · Rivas Audi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341.67 pts (posición 1/18 del ranking): por encima del objetivo de 200 pts.</w:t>
      </w:r>
    </w:p>
    <w:p>
      <w:pPr>
        <w:pStyle w:val="ListBullet"/>
      </w:pPr>
      <w:r>
        <w:t>Por encima de la media: Baterías: 25.00 pts (media 11.0 pts) ✓ | Discos: 33.33 pts (media 20.6 pts) ✓ | Neumáticos: 108.33 pts (media 75.7 pts) ✓ | Parabrisas: 125.00 pts (media 17.1 pts) ✓.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Amortiguadores: 8.33 pts (media 19.6 pts) | Escobillas: 8.33 pts (media 52.9 pts) | Pastillas: 33.33 pts (media 49.5 pts).</w:t>
      </w:r>
    </w:p>
    <w:p>
      <w:pPr>
        <w:pStyle w:val="ListBullet"/>
      </w:pPr>
      <w:r>
        <w:t>Full/Long Drive: 0 operaciones (media equipo: 11.1).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(20 puntos Iron Man). Cumple el mínimo recomendado (5).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Horch Lauden: sin posición registrada en la competición de marca.</w:t>
      </w:r>
    </w:p>
    <w:p/>
    <w:p>
      <w:pPr>
        <w:pStyle w:val="Heading1"/>
      </w:pPr>
      <w:r>
        <w:t>Cuadro de Calidad CX 2026</w:t>
      </w:r>
    </w:p>
    <w:p>
      <w:r>
        <w:t>Rivas Audi (51AQ1 AU) — Audi Service</w:t>
      </w:r>
    </w:p>
    <w:p>
      <w: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Medidas de Servicio (EC28): 0,00% — 2/2 pts  |  Referencia: 0pts &gt;5% | 1pt ≤5% | 2pts ≤1%</w:t>
      </w:r>
    </w:p>
    <w:p>
      <w:pPr>
        <w:pStyle w:val="ListBullet"/>
      </w:pPr>
      <w:r>
        <w:t>Conectividad Posventa: 47,76% — 2/2 pts  |  Referencia: 0pts &lt;25% | 1pt ≥25% | 2pts ≥45%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Satisfacción General (CEM Q4): 4,69 — 1/2 pts  |  Referencia: 0pts &lt;4,60 | 1pt ≥4,60 | 2pts ≥4,80</w:t>
      </w:r>
    </w:p>
    <w:p>
      <w:pPr>
        <w:pStyle w:val="ListBullet"/>
      </w:pPr>
      <w:r>
        <w:t>Información Proceso (TRS): 62,50% — 0/2 pts  |  Referencia: 0pts &lt;80% | 1pt ≥80% | 2pts ≥90%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Service CAM Acum.: 13% (media equipo: 8%; bueno ≥8%) — en rango positivo</w:t>
      </w:r>
    </w:p>
    <w:p>
      <w:pPr>
        <w:pStyle w:val="ListBullet"/>
      </w:pPr>
      <w:r>
        <w:t>Diferidos Acum.: 20% (media equipo: 16%; bueno ≥8%)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4,0 (media equipo: 6,2) — por debajo de la media</w:t>
      </w:r>
    </w:p>
    <w:p>
      <w:pPr>
        <w:pStyle w:val="ListBullet"/>
      </w:pPr>
      <w:r>
        <w:t>Multimedia Acum.: 4,0 (media equipo: 6,1; bueno ≥5) — en rango regular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Usar bien herramienta de ONE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Connect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Puntos de calidad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Mirar familias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Health check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