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Industriales — Abril 2026</w:t>
      </w:r>
    </w:p>
    <w:p>
      <w:pPr>
        <w:jc w:val="center"/>
      </w:pPr>
      <w:r>
        <w:rPr>
          <w:color w:val="444444"/>
          <w:sz w:val="24"/>
        </w:rPr>
        <w:t>Fernando · Industriales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t>Sin datos registrados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Cuadro de Calidad CX 2026</w:t>
      </w:r>
    </w:p>
    <w:p>
      <w:r>
        <w:t>Industriales (30070 LCV) — VW Comerciales</w:t>
      </w:r>
    </w:p>
    <w:p>
      <w:r>
        <w:t>Total: 3/8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Servicios Rápidos (en el día): 65,85% — 2/2 pts  |  Referencia: 0pts &lt;40% | 1pt ≥40%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Satisfacción General (CEM): 4,47 — 0/2 pts  |  Referencia: 0pts &lt;4,52 | 1pt ≥4,52 | 2pts ≥4,62</w:t>
      </w:r>
    </w:p>
    <w:p>
      <w:pPr>
        <w:pStyle w:val="ListBullet"/>
      </w:pPr>
      <w:r>
        <w:t>Medidas de Servicio (EC28): 9,52% — 0/2 pts  |  Referencia: 0pts &gt;5% | 1pt ≤5% | 2pts ≤3%</w:t>
      </w:r>
    </w:p>
    <w:p>
      <w:pPr>
        <w:pStyle w:val="ListBullet"/>
      </w:pPr>
      <w:r>
        <w:t>Conectividad Posventa: 17,48% — 1/2 pts  |  Referencia: 0pts &lt;10% | 1pt ≥10% | 2pts ≥25%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Rivas VW / Industriales (30070)</w:t>
      </w:r>
    </w:p>
    <w:p>
      <w:pPr>
        <w:pStyle w:val="ListBullet"/>
      </w:pPr>
      <w:r>
        <w:t>Multimedia Acum.: 6,6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6,1 (media equipo: 7,3) — por debajo de la media</w:t>
      </w:r>
    </w:p>
    <w:p>
      <w:pPr>
        <w:pStyle w:val="ListBullet"/>
      </w:pPr>
      <w:r>
        <w:t>Service CAM Acum.: 7% (media equipo: 8%; bueno ≥8%) — en rango regular</w:t>
      </w:r>
    </w:p>
    <w:p>
      <w:pPr>
        <w:pStyle w:val="ListBullet"/>
      </w:pPr>
      <w:r>
        <w:t>Diferidos Acum.: 3%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Radar y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Deferencias y demás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One Score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Servicio de Movilidad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 &lt;24h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