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Canarias — Abril 2026</w:t>
      </w:r>
    </w:p>
    <w:p>
      <w:pPr>
        <w:jc w:val="center"/>
      </w:pPr>
      <w:r>
        <w:rPr>
          <w:color w:val="444444"/>
          <w:sz w:val="24"/>
        </w:rPr>
        <w:t>Izquierdo · Canarias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241.11% (posición 3/7 del ranking): por encima del umbral de referencia (220%).</w:t>
      </w:r>
    </w:p>
    <w:p>
      <w:pPr>
        <w:pStyle w:val="ListBullet"/>
      </w:pPr>
      <w:r>
        <w:t>Por encima de la media: Baterías: 11.86% (media 9.45%) ✓ | Discos: 22.13% (media 18.44%) ✓ | Escobillas: 54.55% (media 50.78%) ✓ | Neumáticos: 73.91% (media 72.66%) ✓ | Parabrisas: 15.42% (media 7.61%) ✓.</w:t>
      </w:r>
    </w:p>
    <w:p>
      <w:pPr>
        <w:pStyle w:val="ListBullet"/>
      </w:pPr>
      <w:r>
        <w:t>Variación recambios respecto a hace 2 años: +7.48%.</w:t>
      </w:r>
    </w:p>
    <w:p>
      <w:pPr>
        <w:pStyle w:val="ListBullet"/>
      </w:pPr>
      <w:r>
        <w:t>Variación mano de obra respecto a hace 2 años: +3.61%.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Amortiguadores: 14.23% (media 17.96%) | Pastillas: 49.01% (media 50.60%).</w:t>
      </w:r>
    </w:p>
    <w:p>
      <w:pPr>
        <w:pStyle w:val="ListBullet"/>
      </w:pPr>
      <w:r>
        <w:t>ICC Proactividad: pendiente de ranking ICC Instalaciones 2026-04.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Calidad: pendiente de ranking ICC Instalaciones 2026-04.</w:t>
      </w:r>
    </w:p>
    <w:p/>
    <w:p>
      <w:pPr>
        <w:pStyle w:val="Heading1"/>
      </w:pPr>
      <w:r>
        <w:t>Procesos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Productividad: 93.94% sobre objetivo 93% (+0.94pp). Objetivo cumplido.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posición 1 | Iron Man ICC: posición 1 en el ranking de marca. Posición destacada (top 10).</w:t>
      </w:r>
    </w:p>
    <w:p>
      <w:pPr>
        <w:pStyle w:val="ListBullet"/>
      </w:pPr>
      <w:r>
        <w:t>Horch Lauden: posición 46. Posición aceptable.</w:t>
      </w:r>
    </w:p>
    <w:p/>
    <w:p>
      <w:pPr>
        <w:pStyle w:val="Heading1"/>
      </w:pPr>
      <w:r>
        <w:t>Cuadro de Calidad CX 2026</w:t>
      </w:r>
    </w:p>
    <w:p>
      <w:r>
        <w:t>Canarias (51AQ3 AU) — Audi Service</w:t>
      </w:r>
    </w:p>
    <w:p>
      <w: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Satisfacción General (CEM Q4): 4,80 — 2/2 pts  |  Referencia: 0pts &lt;4,60 | 1pt ≥4,60 | 2pts ≥4,80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1,72% — 1/2 pts  |  Referencia: 0pts &gt;5% | 1pt ≤5% | 2pts ≤1%</w:t>
      </w:r>
    </w:p>
    <w:p>
      <w:pPr>
        <w:pStyle w:val="ListBullet"/>
      </w:pPr>
      <w:r>
        <w:t>Información Proceso (TRS): 87,50% — 1/2 pts  |  Referencia: 0pts &lt;80% | 1pt ≥80% | 2pts ≥90%</w:t>
      </w:r>
    </w:p>
    <w:p>
      <w:pPr>
        <w:pStyle w:val="ListBullet"/>
      </w:pPr>
      <w:r>
        <w:t>Conectividad Posventa: 38,71% — 1/2 pts  |  Referencia: 0pts &lt;25% | 1pt ≥25% | 2pts ≥45%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Rivas Canarias (00160)</w:t>
      </w:r>
    </w:p>
    <w:p>
      <w:pPr>
        <w:pStyle w:val="ListBullet"/>
      </w:pPr>
      <w:r>
        <w:t>Diferidos Acum.: 10% (media equipo: 16%; bueno ≥8%) — en rango positivo</w:t>
      </w:r>
    </w:p>
    <w:p>
      <w:pPr>
        <w:pStyle w:val="ListBullet"/>
      </w:pPr>
      <w:r>
        <w:t>Multimedia Acum.: 5,3 (media equipo: 6,2;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5,6 (media equipo: 7,3) — por debajo de la media</w:t>
      </w:r>
    </w:p>
    <w:p>
      <w:pPr>
        <w:pStyle w:val="ListBullet"/>
      </w:pPr>
      <w:r>
        <w:t>Service CAM Acum.: 2% (media equipo: 8%; bueno ≥8%)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Connect.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Bajo en deferencias, tablas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Mantenimiento &lt;24 horas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Formación.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Score de ONE.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Service Cam ONE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Ojo mano de obra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