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VW — Abril 2026</w:t>
      </w:r>
    </w:p>
    <w:p>
      <w:pPr>
        <w:jc w:val="center"/>
      </w:pPr>
      <w:r>
        <w:rPr>
          <w:color w:val="444444"/>
          <w:sz w:val="24"/>
        </w:rPr>
        <w:t>Javier Pina · Rivas VW / Industriales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200.77 pts (posición 16/18 del ranking): por encima del objetivo de 200 pts.</w:t>
      </w:r>
    </w:p>
    <w:p>
      <w:pPr>
        <w:pStyle w:val="ListBullet"/>
      </w:pPr>
      <w:r>
        <w:t>Por encima de la media: Baterías: 16.15 pts (media 11.0 pts) ✓ | Parabrisas: 18.46 pts (media 17.1 pts) ✓.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7.69 pts (media 19.6 pts) | Discos: 20.00 pts (media 20.6 pts) | Escobillas: 24.62 pts (media 52.9 pts) | Neumáticos: 71.54 pts (media 75.7 pts) | Pastillas: 42.31 pts (media 49.5 pts).</w:t>
      </w:r>
    </w:p>
    <w:p>
      <w:pPr>
        <w:pStyle w:val="ListBullet"/>
      </w:pPr>
      <w:r>
        <w:t>Full/Long Drive: 6 operaciones (media equipo: 11.1). Por debajo de la media.</w:t>
      </w:r>
    </w:p>
    <w:p>
      <w:pPr>
        <w:pStyle w:val="ListBullet"/>
      </w:pPr>
      <w:r>
        <w:t>Fidelidad: 57.98% (media equipo: 63.48%).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102. Requiere atención.</w:t>
      </w:r>
    </w:p>
    <w:p/>
    <w:p>
      <w:pPr>
        <w:pStyle w:val="Heading1"/>
      </w:pPr>
      <w:r>
        <w:t>Cuadro de Calidad CX 2026</w:t>
      </w:r>
    </w:p>
    <w:p>
      <w:r>
        <w:t>Rivas VW (30070 VW) — VW Turismos</w:t>
      </w:r>
    </w:p>
    <w:p>
      <w:r>
        <w:t>Total: 6/8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Google Business Profile (GBP): 100,00% — 2/2 pts  |  Referencia: 0pts &lt;80% | 1pt ≥80% | 2pts 100%</w:t>
      </w:r>
    </w:p>
    <w:p>
      <w:pPr>
        <w:pStyle w:val="ListBullet"/>
      </w:pPr>
      <w:r>
        <w:t>Medidas de Servicio (EC28): 0,50% — 2/2 pts  |  Referencia: 0pts &gt;5% | 1pt ≤5% | 2pts ≤3%</w:t>
      </w:r>
    </w:p>
    <w:p>
      <w:pPr>
        <w:pStyle w:val="ListBullet"/>
      </w:pPr>
      <w:r>
        <w:t>Club Volkswagen Postventa: 7,86% — 2/2 pts  |  Referencia: 0pts &lt;3% | 1pt ≥3% | 2pts ≥6%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Conectividad Posventa: 16,18% — 0/2 pts  |  Referencia: 0pts &lt;25% | 1pt ≥25% | 2pts ≥40%</w:t>
      </w:r>
    </w:p>
    <w:p>
      <w:r>
        <w:t>Industriales (30070 LCV) — VW Comerciales</w:t>
      </w:r>
    </w:p>
    <w:p>
      <w:r>
        <w:t>Total: 3/8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Servicios Rápidos (en el día): 65,85% — 2/2 pts  |  Referencia: 0pts &lt;40% | 1pt ≥40% | 2pts ≥45%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Satisfacción General (CEM): 4,47 — 0/2 pts  |  Referencia: 0pts &lt;4,52 | 1pt ≥4,52 | 2pts ≥4,62</w:t>
      </w:r>
    </w:p>
    <w:p>
      <w:pPr>
        <w:pStyle w:val="ListBullet"/>
      </w:pPr>
      <w:r>
        <w:t>Medidas de Servicio (EC28): 9,52% — 0/2 pts  |  Referencia: 0pts &gt;5% | 1pt ≤5% | 2pts ≤3%</w:t>
      </w:r>
    </w:p>
    <w:p>
      <w:pPr>
        <w:pStyle w:val="ListBullet"/>
      </w:pPr>
      <w:r>
        <w:t>Conectividad Posventa: 17,48% — 1/2 pts  |  Referencia: 0pts &lt;10% | 1pt ≥10% | 2pts ≥25%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Service CAM Acum.: 11% (media equipo: 8%; bueno ≥8%) — en rango positivo</w:t>
      </w:r>
    </w:p>
    <w:p>
      <w:pPr>
        <w:pStyle w:val="ListBullet"/>
      </w:pPr>
      <w:r>
        <w:t>Multimedia Acum.: 5,0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4,5 (media equipo: 6,2) — por debajo de la media</w:t>
      </w:r>
    </w:p>
    <w:p>
      <w:pPr>
        <w:pStyle w:val="ListBullet"/>
      </w:pPr>
      <w:r>
        <w:t>Diferidos Acum.: 1% (media equipo: 16%;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Foco en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Diferidos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