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Moncloa — Abril 2026</w:t>
      </w:r>
    </w:p>
    <w:p>
      <w:pPr>
        <w:jc w:val="center"/>
      </w:pPr>
      <w:r>
        <w:rPr>
          <w:color w:val="444444"/>
          <w:sz w:val="24"/>
        </w:rPr>
        <w:t>José María Campos · Moncloa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212.56 pts (posición 13/18 del ranking): por encima del objetivo de 200 pts.</w:t>
      </w:r>
    </w:p>
    <w:p>
      <w:pPr>
        <w:pStyle w:val="ListBullet"/>
      </w:pPr>
      <w:r>
        <w:t>Por encima de la media: Neumáticos: 92.96 pts (media 75.7 pts) ✓ | Pastillas: 63.82 pts (media 49.5 pts) ✓.</w:t>
      </w:r>
    </w:p>
    <w:p>
      <w:pPr>
        <w:pStyle w:val="ListBullet"/>
      </w:pPr>
      <w:r>
        <w:t>Fidelidad: 66.07% (media equipo: 63.48%). Por encima o en línea con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16.08 pts (media 19.6 pts) | Baterías: 6.03 pts (media 11.0 pts) | Discos: 17.09 pts (media 20.6 pts) | Escobillas: 11.56 pts (media 52.9 pts) | Parabrisas: 5.03 pts (media 17.1 pts).</w:t>
      </w:r>
    </w:p>
    <w:p>
      <w:pPr>
        <w:pStyle w:val="ListBullet"/>
      </w:pPr>
      <w:r>
        <w:t>Full/Long Drive: 7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mínimo recomendado (5).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244. Requiere atención.</w:t>
      </w:r>
    </w:p>
    <w:p/>
    <w:p>
      <w:pPr>
        <w:pStyle w:val="Heading1"/>
      </w:pPr>
      <w:r>
        <w:t>Cuadro de Calidad CX 2026</w:t>
      </w:r>
    </w:p>
    <w:p>
      <w:r>
        <w:t>Moncloa Audi (31523 AU) — Audi Service</w:t>
      </w:r>
    </w:p>
    <w:p>
      <w:r>
        <w:t>Total: 4/8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Medidas de Servicio (EC28): 0,00% — 2/2 pts  |  Referencia: 0pts &gt;5% | 1pt ≤5% | 2pts ≤1%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Satisfacción General (CEM Q4): 4,77 — 1/2 pts  |  Referencia: 0pts &lt;4,60 | 1pt ≥4,60 | 2pts ≥4,80</w:t>
      </w:r>
    </w:p>
    <w:p>
      <w:pPr>
        <w:pStyle w:val="ListBullet"/>
      </w:pPr>
      <w:r>
        <w:t>Información Proceso (TRS): 60,00% — 0/2 pts  |  Referencia: 0pts &lt;80% | 1pt ≥80% | 2pts ≥90%</w:t>
      </w:r>
    </w:p>
    <w:p>
      <w:pPr>
        <w:pStyle w:val="ListBullet"/>
      </w:pPr>
      <w:r>
        <w:t>Conectividad Posventa: 40,74% — 1/2 pts  |  Referencia: 0pts &lt;25% | 1pt ≥25% | 2pts ≥45%</w:t>
      </w:r>
    </w:p>
    <w:p>
      <w:r>
        <w:t>Moncloa VW (31523 VW) — VW Turismos</w:t>
      </w:r>
    </w:p>
    <w:p>
      <w:r>
        <w:t>Total: 5/8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Google Business Profile (GBP): 100,00% — 2/2 pts  |  Referencia: 0pts &lt;80% | 1pt ≥80% | 2pts 100%</w:t>
      </w:r>
    </w:p>
    <w:p>
      <w:pPr>
        <w:pStyle w:val="ListBullet"/>
      </w:pPr>
      <w:r>
        <w:t>Medidas de Servicio (EC28): 1,35% — 2/2 pts  |  Referencia: 0pts &gt;5% | 1pt ≤5% | 2pts ≤3%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Conectividad Posventa: 7,32% — 0/2 pts  |  Referencia: 0pts &lt;25% | 1pt ≥25% | 2pts ≥40%</w:t>
      </w:r>
    </w:p>
    <w:p>
      <w:pPr>
        <w:pStyle w:val="ListBullet"/>
      </w:pPr>
      <w:r>
        <w:t>Club Volkswagen Postventa: 4,58% — 1/2 pts  |  Referencia: 0pts &lt;3% | 1pt ≥3% | 2pts ≥6%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7,0 (media equipo: 6,2) — por encima de la media</w:t>
      </w:r>
    </w:p>
    <w:p>
      <w:pPr>
        <w:pStyle w:val="ListBullet"/>
      </w:pPr>
      <w:r>
        <w:t>Service CAM Acum.: 13% (media equipo: 8%; bueno ≥8%) — en rango positivo</w:t>
      </w:r>
    </w:p>
    <w:p>
      <w:pPr>
        <w:pStyle w:val="ListBullet"/>
      </w:pPr>
      <w:r>
        <w:t>Diferidos Acum.: 24% (media equipo: 16%; bueno ≥8%) — en rango positivo</w:t>
      </w:r>
    </w:p>
    <w:p>
      <w:pPr>
        <w:pStyle w:val="ListBullet"/>
      </w:pPr>
      <w:r>
        <w:t>Multimedia Acum.: 5,0 (media equipo: 6,1;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