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Seguimiento Moncloa Audi — Abril 2026</w:t>
      </w:r>
    </w:p>
    <w:p>
      <w:pPr>
        <w:jc w:val="center"/>
      </w:pPr>
      <w:r>
        <w:rPr>
          <w:color w:val="444444"/>
          <w:sz w:val="24"/>
        </w:rPr>
        <w:t>José María Campos · Moncloa Audi</w:t>
      </w:r>
    </w:p>
    <w:p>
      <w:pPr>
        <w:jc w:val="center"/>
      </w:pPr>
      <w:r>
        <w:rPr>
          <w:color w:val="888888"/>
          <w:sz w:val="20"/>
        </w:rPr>
        <w:t>Fecha: 07/05/2026</w:t>
      </w:r>
    </w:p>
    <w:p/>
    <w:p>
      <w:pPr>
        <w:pStyle w:val="Heading1"/>
      </w:pPr>
      <w:r>
        <w:t>Proactividad comercial</w:t>
      </w:r>
    </w:p>
    <w:p>
      <w:r>
        <w:rPr>
          <w:b/>
          <w:color w:val="1A7A3C"/>
        </w:rPr>
        <w:t>Puntos positivos</w:t>
      </w:r>
    </w:p>
    <w:p>
      <w:pPr>
        <w:pStyle w:val="ListBullet"/>
      </w:pPr>
      <w:r>
        <w:t>Por encima de la media: Neumáticos: 89.36% (media 72.66%) ✓ | Pastillas: 60.11% (media 50.60%) ✓.</w:t>
      </w:r>
    </w:p>
    <w:p>
      <w:pPr>
        <w:pStyle w:val="ListBullet"/>
      </w:pPr>
      <w:r>
        <w:t>Variación recambios respecto a hace 2 años: +24.06%.</w:t>
      </w:r>
    </w:p>
    <w:p>
      <w:pPr>
        <w:pStyle w:val="ListBullet"/>
      </w:pPr>
      <w:r>
        <w:t>Variación mano de obra respecto a hace 2 años: +54.97%.</w:t>
      </w:r>
    </w:p>
    <w:p>
      <w:r>
        <w:rPr>
          <w:b/>
          <w:color w:val="C0392B"/>
        </w:rPr>
        <w:t>Puntos a mejorar</w:t>
      </w:r>
    </w:p>
    <w:p>
      <w:pPr>
        <w:pStyle w:val="ListBullet"/>
      </w:pPr>
      <w:r>
        <w:t>Desgaste total 199.47% (posición 6/7 del ranking): por debajo del umbral de referencia (220%). Seguimiento prioritario.</w:t>
      </w:r>
    </w:p>
    <w:p>
      <w:pPr>
        <w:pStyle w:val="ListBullet"/>
      </w:pPr>
      <w:r>
        <w:t>Por debajo de la media: Amortiguadores: 12.77% (media 17.96%) | Baterías: 5.85% (media 9.45%) | Discos: 15.96% (media 18.44%) | Escobillas: 15.43% (media 50.78%) | Parabrisas: 0.00% (media 7.61%).</w:t>
      </w:r>
    </w:p>
    <w:p>
      <w:pPr>
        <w:pStyle w:val="ListBullet"/>
      </w:pPr>
      <w:r>
        <w:t>ICC Proactividad: pendiente de ranking ICC Instalaciones 2026-04.</w:t>
      </w:r>
    </w:p>
    <w:p/>
    <w:p>
      <w:pPr>
        <w:pStyle w:val="Heading1"/>
      </w:pPr>
      <w:r>
        <w:t>Digital</w:t>
      </w:r>
    </w:p>
    <w:p>
      <w:r>
        <w:t>Sin datos registrados</w:t>
      </w:r>
    </w:p>
    <w:p/>
    <w:p>
      <w:pPr>
        <w:pStyle w:val="Heading1"/>
      </w:pPr>
      <w:r>
        <w:t>Calidad</w:t>
      </w:r>
    </w:p>
    <w:p>
      <w:r>
        <w:rPr>
          <w:b/>
          <w:color w:val="C0392B"/>
        </w:rPr>
        <w:t>Puntos a mejorar</w:t>
      </w:r>
    </w:p>
    <w:p>
      <w:pPr>
        <w:pStyle w:val="ListBullet"/>
      </w:pPr>
      <w:r>
        <w:t>CAL1SEM: 4.00 (10 puntos Iron Man). Por debajo de 5. Revisar encuestas de satisfacción.</w:t>
      </w:r>
    </w:p>
    <w:p>
      <w:pPr>
        <w:pStyle w:val="ListBullet"/>
      </w:pPr>
      <w:r>
        <w:t>ICC Calidad: pendiente de ranking ICC Instalaciones 2026-04.</w:t>
      </w:r>
    </w:p>
    <w:p/>
    <w:p>
      <w:pPr>
        <w:pStyle w:val="Heading1"/>
      </w:pPr>
      <w:r>
        <w:t>Procesos</w:t>
      </w:r>
    </w:p>
    <w:p>
      <w:r>
        <w:rPr>
          <w:b/>
          <w:color w:val="C0392B"/>
        </w:rPr>
        <w:t>Puntos a mejorar</w:t>
      </w:r>
    </w:p>
    <w:p>
      <w:pPr>
        <w:pStyle w:val="ListBullet"/>
      </w:pPr>
      <w:r>
        <w:t>Productividad: 90.15% sobre objetivo 93% (-2.85pp). Objetivo no alcanzado.</w:t>
      </w:r>
    </w:p>
    <w:p/>
    <w:p>
      <w:pPr>
        <w:pStyle w:val="Heading1"/>
      </w:pPr>
      <w:r>
        <w:t>Recursos generales</w:t>
      </w:r>
    </w:p>
    <w:p>
      <w:r>
        <w:t>Sin datos registrados</w:t>
      </w:r>
    </w:p>
    <w:p/>
    <w:p>
      <w:pPr>
        <w:pStyle w:val="Heading1"/>
      </w:pPr>
      <w:r>
        <w:t>Carrocería</w:t>
      </w:r>
    </w:p>
    <w:p>
      <w:r>
        <w:t>Sin datos registrados</w:t>
      </w:r>
    </w:p>
    <w:p/>
    <w:p>
      <w:pPr>
        <w:pStyle w:val="Heading1"/>
      </w:pPr>
      <w:r>
        <w:t>Personas</w:t>
      </w:r>
    </w:p>
    <w:p>
      <w:r>
        <w:t>Sin datos registrados</w:t>
      </w:r>
    </w:p>
    <w:p/>
    <w:p>
      <w:pPr>
        <w:pStyle w:val="Heading1"/>
      </w:pPr>
      <w:r>
        <w:t>Rankings de marca</w:t>
      </w:r>
    </w:p>
    <w:p>
      <w:r>
        <w:rPr>
          <w:b/>
          <w:color w:val="1A7A3C"/>
        </w:rPr>
        <w:t>Puntos positivos</w:t>
      </w:r>
    </w:p>
    <w:p>
      <w:pPr>
        <w:pStyle w:val="ListBullet"/>
      </w:pPr>
      <w:r>
        <w:t>ICC global: posición 12 | Iron Man ICC: posición 12 en el ranking de marca. Posición aceptable.</w:t>
      </w:r>
    </w:p>
    <w:p>
      <w:r>
        <w:rPr>
          <w:b/>
          <w:color w:val="C0392B"/>
        </w:rPr>
        <w:t>Puntos a mejorar</w:t>
      </w:r>
    </w:p>
    <w:p>
      <w:pPr>
        <w:pStyle w:val="ListBullet"/>
      </w:pPr>
      <w:r>
        <w:t>Horch Lauden: posición 111. Requiere atención.</w:t>
      </w:r>
    </w:p>
    <w:p/>
    <w:p>
      <w:pPr>
        <w:pStyle w:val="Heading1"/>
      </w:pPr>
      <w:r>
        <w:t>Cuadro de Calidad CX 2026</w:t>
      </w:r>
    </w:p>
    <w:p>
      <w:r>
        <w:t>Moncloa Audi (31523 AU) — Audi Service</w:t>
      </w:r>
    </w:p>
    <w:p>
      <w:r>
        <w:t>Total: 4/8 puntos</w:t>
      </w:r>
    </w:p>
    <w:p>
      <w:r>
        <w:rPr>
          <w:b/>
          <w:color w:val="1A7A3C"/>
        </w:rPr>
        <w:t>Puntos positivos</w:t>
      </w:r>
    </w:p>
    <w:p>
      <w:pPr>
        <w:pStyle w:val="ListBullet"/>
      </w:pPr>
      <w:r>
        <w:t>Medidas de Servicio (EC28): 0,00% — 2/2 pts  |  Referencia: 0pts &gt;5% | 1pt ≤5% | 2pts ≤1%</w:t>
      </w:r>
    </w:p>
    <w:p>
      <w:r>
        <w:rPr>
          <w:b/>
          <w:color w:val="C0392B"/>
        </w:rPr>
        <w:t>Puntos a mejorar</w:t>
      </w:r>
    </w:p>
    <w:p>
      <w:pPr>
        <w:pStyle w:val="ListBullet"/>
      </w:pPr>
      <w:r>
        <w:t>Satisfacción General (CEM Q4): 4,77 — 1/2 pts  |  Referencia: 0pts &lt;4,60 | 1pt ≥4,60 | 2pts ≥4,80</w:t>
      </w:r>
    </w:p>
    <w:p>
      <w:pPr>
        <w:pStyle w:val="ListBullet"/>
      </w:pPr>
      <w:r>
        <w:t>Información Proceso (TRS): 60,00% — 0/2 pts  |  Referencia: 0pts &lt;80% | 1pt ≥80% | 2pts ≥90%</w:t>
      </w:r>
    </w:p>
    <w:p>
      <w:pPr>
        <w:pStyle w:val="ListBullet"/>
      </w:pPr>
      <w:r>
        <w:t>Conectividad Posventa: 40,74% — 1/2 pts  |  Referencia: 0pts &lt;25% | 1pt ≥25% | 2pts ≥45%</w:t>
      </w:r>
    </w:p>
    <w:p/>
    <w:p>
      <w:pPr>
        <w:pStyle w:val="Heading1"/>
      </w:pPr>
      <w:r>
        <w:t>ONE KVPS</w:t>
      </w:r>
    </w:p>
    <w:p>
      <w:r>
        <w:rPr>
          <w:b/>
          <w:color w:val="1A7A3C"/>
        </w:rPr>
        <w:t>Puntos positivos</w:t>
      </w:r>
    </w:p>
    <w:p>
      <w:pPr>
        <w:pStyle w:val="ListBullet"/>
      </w:pPr>
      <w:r>
        <w:t>Instalación ONE: Moncloa (31523)</w:t>
      </w:r>
    </w:p>
    <w:p>
      <w:pPr>
        <w:pStyle w:val="ListBullet"/>
      </w:pPr>
      <w:r>
        <w:t>Score SEM: 9,0 (media equipo: 7,3) — por encima de la media</w:t>
      </w:r>
    </w:p>
    <w:p>
      <w:pPr>
        <w:pStyle w:val="ListBullet"/>
      </w:pPr>
      <w:r>
        <w:t>Service CAM Acum.: 8% (media equipo: 8%; bueno ≥8%) — en rango positivo</w:t>
      </w:r>
    </w:p>
    <w:p>
      <w:pPr>
        <w:pStyle w:val="ListBullet"/>
      </w:pPr>
      <w:r>
        <w:t>Diferidos Acum.: 19% (media equipo: 16%; bueno ≥8%) — en rango positivo</w:t>
      </w:r>
    </w:p>
    <w:p>
      <w:pPr>
        <w:pStyle w:val="ListBullet"/>
      </w:pPr>
      <w:r>
        <w:t>Multimedia Acum.: 5,8 (media equipo: 6,2; bueno ≥5) — en rango positivo</w:t>
      </w:r>
    </w:p>
    <w:p/>
    <w:p>
      <w:pPr>
        <w:pStyle w:val="Heading1"/>
      </w:pPr>
      <w:r>
        <w:t>Tareas pendientes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6"/>
        <w:gridCol w:w="1806"/>
        <w:gridCol w:w="1806"/>
        <w:gridCol w:w="1806"/>
        <w:gridCol w:w="1806"/>
      </w:tblGrid>
      <w:tr>
        <w:tc>
          <w:tcPr>
            <w:tcW w:type="dxa" w:w="1806"/>
          </w:tcPr>
          <w:p>
            <w:r>
              <w:rPr>
                <w:b/>
              </w:rPr>
              <w:t>Tarea</w:t>
            </w:r>
          </w:p>
        </w:tc>
        <w:tc>
          <w:tcPr>
            <w:tcW w:type="dxa" w:w="1806"/>
          </w:tcPr>
          <w:p>
            <w:r>
              <w:rPr>
                <w:b/>
              </w:rPr>
              <w:t>Responsable</w:t>
            </w:r>
          </w:p>
        </w:tc>
        <w:tc>
          <w:tcPr>
            <w:tcW w:type="dxa" w:w="1806"/>
          </w:tcPr>
          <w:p>
            <w:r>
              <w:rPr>
                <w:b/>
              </w:rPr>
              <w:t>Fecha límite</w:t>
            </w:r>
          </w:p>
        </w:tc>
        <w:tc>
          <w:tcPr>
            <w:tcW w:type="dxa" w:w="1806"/>
          </w:tcPr>
          <w:p>
            <w:r>
              <w:rPr>
                <w:b/>
              </w:rPr>
              <w:t>Observaciones</w:t>
            </w:r>
          </w:p>
        </w:tc>
        <w:tc>
          <w:tcPr>
            <w:tcW w:type="dxa" w:w="1806"/>
          </w:tcPr>
          <w:p>
            <w:r>
              <w:rPr>
                <w:b/>
              </w:rPr>
              <w:t>Grado de cumplimentación</w:t>
            </w:r>
          </w:p>
        </w:tc>
      </w:tr>
      <w:tr>
        <w:tc>
          <w:tcPr>
            <w:tcW w:type="dxa" w:w="1806"/>
          </w:tcPr>
          <w:p>
            <w:r>
              <w:t>Utilizar el Laser de desgaste</w:t>
            </w:r>
          </w:p>
        </w:tc>
        <w:tc>
          <w:tcPr>
            <w:tcW w:type="dxa" w:w="1806"/>
          </w:tcPr>
          <w:p>
            <w:r/>
          </w:p>
        </w:tc>
        <w:tc>
          <w:tcPr>
            <w:tcW w:type="dxa" w:w="1806"/>
          </w:tcPr>
          <w:p>
            <w:r/>
          </w:p>
        </w:tc>
        <w:tc>
          <w:tcPr>
            <w:tcW w:type="dxa" w:w="1806"/>
          </w:tcPr>
          <w:p>
            <w:r/>
          </w:p>
        </w:tc>
        <w:tc>
          <w:tcPr>
            <w:tcW w:type="dxa" w:w="1806"/>
          </w:tcPr>
          <w:p>
            <w:r/>
          </w:p>
        </w:tc>
      </w:tr>
      <w:tr>
        <w:tc>
          <w:tcPr>
            <w:tcW w:type="dxa" w:w="1806"/>
          </w:tcPr>
          <w:p>
            <w:r>
              <w:t>Desgaste general</w:t>
            </w:r>
          </w:p>
        </w:tc>
        <w:tc>
          <w:tcPr>
            <w:tcW w:type="dxa" w:w="1806"/>
          </w:tcPr>
          <w:p>
            <w:r/>
          </w:p>
        </w:tc>
        <w:tc>
          <w:tcPr>
            <w:tcW w:type="dxa" w:w="1806"/>
          </w:tcPr>
          <w:p>
            <w:r/>
          </w:p>
        </w:tc>
        <w:tc>
          <w:tcPr>
            <w:tcW w:type="dxa" w:w="1806"/>
          </w:tcPr>
          <w:p>
            <w:r/>
          </w:p>
        </w:tc>
        <w:tc>
          <w:tcPr>
            <w:tcW w:type="dxa" w:w="1806"/>
          </w:tcPr>
          <w:p>
            <w:r/>
          </w:p>
        </w:tc>
      </w:tr>
      <w:tr>
        <w:tc>
          <w:tcPr>
            <w:tcW w:type="dxa" w:w="1806"/>
          </w:tcPr>
          <w:p>
            <w:r>
              <w:t>Atenciones comerciales</w:t>
            </w:r>
          </w:p>
        </w:tc>
        <w:tc>
          <w:tcPr>
            <w:tcW w:type="dxa" w:w="1806"/>
          </w:tcPr>
          <w:p>
            <w:r/>
          </w:p>
        </w:tc>
        <w:tc>
          <w:tcPr>
            <w:tcW w:type="dxa" w:w="1806"/>
          </w:tcPr>
          <w:p>
            <w:r/>
          </w:p>
        </w:tc>
        <w:tc>
          <w:tcPr>
            <w:tcW w:type="dxa" w:w="1806"/>
          </w:tcPr>
          <w:p>
            <w:r/>
          </w:p>
        </w:tc>
        <w:tc>
          <w:tcPr>
            <w:tcW w:type="dxa" w:w="1806"/>
          </w:tcPr>
          <w:p>
            <w:r/>
          </w:p>
        </w:tc>
      </w:tr>
      <w:tr>
        <w:tc>
          <w:tcPr>
            <w:tcW w:type="dxa" w:w="1806"/>
          </w:tcPr>
          <w:p>
            <w:r>
              <w:t>One Score</w:t>
            </w:r>
          </w:p>
        </w:tc>
        <w:tc>
          <w:tcPr>
            <w:tcW w:type="dxa" w:w="1806"/>
          </w:tcPr>
          <w:p>
            <w:r/>
          </w:p>
        </w:tc>
        <w:tc>
          <w:tcPr>
            <w:tcW w:type="dxa" w:w="1806"/>
          </w:tcPr>
          <w:p>
            <w:r/>
          </w:p>
        </w:tc>
        <w:tc>
          <w:tcPr>
            <w:tcW w:type="dxa" w:w="1806"/>
          </w:tcPr>
          <w:p>
            <w:r/>
          </w:p>
        </w:tc>
        <w:tc>
          <w:tcPr>
            <w:tcW w:type="dxa" w:w="1806"/>
          </w:tcPr>
          <w:p>
            <w:r/>
          </w:p>
        </w:tc>
      </w:tr>
      <w:tr>
        <w:tc>
          <w:tcPr>
            <w:tcW w:type="dxa" w:w="1806"/>
          </w:tcPr>
          <w:p>
            <w:r>
              <w:t>Audi Move</w:t>
            </w:r>
          </w:p>
        </w:tc>
        <w:tc>
          <w:tcPr>
            <w:tcW w:type="dxa" w:w="1806"/>
          </w:tcPr>
          <w:p>
            <w:r/>
          </w:p>
        </w:tc>
        <w:tc>
          <w:tcPr>
            <w:tcW w:type="dxa" w:w="1806"/>
          </w:tcPr>
          <w:p>
            <w:r/>
          </w:p>
        </w:tc>
        <w:tc>
          <w:tcPr>
            <w:tcW w:type="dxa" w:w="1806"/>
          </w:tcPr>
          <w:p>
            <w:r/>
          </w:p>
        </w:tc>
        <w:tc>
          <w:tcPr>
            <w:tcW w:type="dxa" w:w="1806"/>
          </w:tcPr>
          <w:p>
            <w:r/>
          </w:p>
        </w:tc>
      </w:tr>
      <w:tr>
        <w:tc>
          <w:tcPr>
            <w:tcW w:type="dxa" w:w="1806"/>
          </w:tcPr>
          <w:p>
            <w:r>
              <w:t>Transporte alternativo</w:t>
            </w:r>
          </w:p>
        </w:tc>
        <w:tc>
          <w:tcPr>
            <w:tcW w:type="dxa" w:w="1806"/>
          </w:tcPr>
          <w:p>
            <w:r/>
          </w:p>
        </w:tc>
        <w:tc>
          <w:tcPr>
            <w:tcW w:type="dxa" w:w="1806"/>
          </w:tcPr>
          <w:p>
            <w:r/>
          </w:p>
        </w:tc>
        <w:tc>
          <w:tcPr>
            <w:tcW w:type="dxa" w:w="1806"/>
          </w:tcPr>
          <w:p>
            <w:r/>
          </w:p>
        </w:tc>
        <w:tc>
          <w:tcPr>
            <w:tcW w:type="dxa" w:w="1806"/>
          </w:tcPr>
          <w:p>
            <w:r/>
          </w:p>
        </w:tc>
      </w:tr>
      <w:tr>
        <w:tc>
          <w:tcPr>
            <w:tcW w:type="dxa" w:w="1806"/>
          </w:tcPr>
          <w:p>
            <w:r>
              <w:t>Ocupacióon</w:t>
            </w:r>
          </w:p>
        </w:tc>
        <w:tc>
          <w:tcPr>
            <w:tcW w:type="dxa" w:w="1806"/>
          </w:tcPr>
          <w:p>
            <w:r/>
          </w:p>
        </w:tc>
        <w:tc>
          <w:tcPr>
            <w:tcW w:type="dxa" w:w="1806"/>
          </w:tcPr>
          <w:p>
            <w:r/>
          </w:p>
        </w:tc>
        <w:tc>
          <w:tcPr>
            <w:tcW w:type="dxa" w:w="1806"/>
          </w:tcPr>
          <w:p>
            <w:r/>
          </w:p>
        </w:tc>
        <w:tc>
          <w:tcPr>
            <w:tcW w:type="dxa" w:w="1806"/>
          </w:tcPr>
          <w:p>
            <w:r/>
          </w:p>
        </w:tc>
      </w:tr>
      <w:tr>
        <w:tc>
          <w:tcPr>
            <w:tcW w:type="dxa" w:w="1806"/>
          </w:tcPr>
          <w:p>
            <w:r>
              <w:t>Mantenimiento &lt;24 h</w:t>
            </w:r>
          </w:p>
        </w:tc>
        <w:tc>
          <w:tcPr>
            <w:tcW w:type="dxa" w:w="1806"/>
          </w:tcPr>
          <w:p>
            <w:r/>
          </w:p>
        </w:tc>
        <w:tc>
          <w:tcPr>
            <w:tcW w:type="dxa" w:w="1806"/>
          </w:tcPr>
          <w:p>
            <w:r/>
          </w:p>
        </w:tc>
        <w:tc>
          <w:tcPr>
            <w:tcW w:type="dxa" w:w="1806"/>
          </w:tcPr>
          <w:p>
            <w:r/>
          </w:p>
        </w:tc>
        <w:tc>
          <w:tcPr>
            <w:tcW w:type="dxa" w:w="1806"/>
          </w:tcPr>
          <w:p>
            <w:r/>
          </w:p>
        </w:tc>
      </w:tr>
      <w:tr>
        <w:tc>
          <w:tcPr>
            <w:tcW w:type="dxa" w:w="1806"/>
          </w:tcPr>
          <w:p>
            <w:r>
              <w:t>Formacion</w:t>
            </w:r>
          </w:p>
        </w:tc>
        <w:tc>
          <w:tcPr>
            <w:tcW w:type="dxa" w:w="1806"/>
          </w:tcPr>
          <w:p>
            <w:r/>
          </w:p>
        </w:tc>
        <w:tc>
          <w:tcPr>
            <w:tcW w:type="dxa" w:w="1806"/>
          </w:tcPr>
          <w:p>
            <w:r/>
          </w:p>
        </w:tc>
        <w:tc>
          <w:tcPr>
            <w:tcW w:type="dxa" w:w="1806"/>
          </w:tcPr>
          <w:p>
            <w:r/>
          </w:p>
        </w:tc>
        <w:tc>
          <w:tcPr>
            <w:tcW w:type="dxa" w:w="1806"/>
          </w:tcPr>
          <w:p>
            <w:r/>
          </w:p>
        </w:tc>
      </w:tr>
      <w:tr>
        <w:tc>
          <w:tcPr>
            <w:tcW w:type="dxa" w:w="1806"/>
          </w:tcPr>
          <w:p>
            <w:r>
              <w:t>Score ONE</w:t>
            </w:r>
          </w:p>
        </w:tc>
        <w:tc>
          <w:tcPr>
            <w:tcW w:type="dxa" w:w="1806"/>
          </w:tcPr>
          <w:p>
            <w:r/>
          </w:p>
        </w:tc>
        <w:tc>
          <w:tcPr>
            <w:tcW w:type="dxa" w:w="1806"/>
          </w:tcPr>
          <w:p>
            <w:r/>
          </w:p>
        </w:tc>
        <w:tc>
          <w:tcPr>
            <w:tcW w:type="dxa" w:w="1806"/>
          </w:tcPr>
          <w:p>
            <w:r/>
          </w:p>
        </w:tc>
        <w:tc>
          <w:tcPr>
            <w:tcW w:type="dxa" w:w="1806"/>
          </w:tcPr>
          <w:p>
            <w:r/>
          </w:p>
        </w:tc>
      </w:tr>
      <w:tr>
        <w:tc>
          <w:tcPr>
            <w:tcW w:type="dxa" w:w="1806"/>
          </w:tcPr>
          <w:p>
            <w:r>
              <w:t>Service Cam</w:t>
            </w:r>
          </w:p>
        </w:tc>
        <w:tc>
          <w:tcPr>
            <w:tcW w:type="dxa" w:w="1806"/>
          </w:tcPr>
          <w:p>
            <w:r/>
          </w:p>
        </w:tc>
        <w:tc>
          <w:tcPr>
            <w:tcW w:type="dxa" w:w="1806"/>
          </w:tcPr>
          <w:p>
            <w:r/>
          </w:p>
        </w:tc>
        <w:tc>
          <w:tcPr>
            <w:tcW w:type="dxa" w:w="1806"/>
          </w:tcPr>
          <w:p>
            <w:r/>
          </w:p>
        </w:tc>
        <w:tc>
          <w:tcPr>
            <w:tcW w:type="dxa" w:w="1806"/>
          </w:tcPr>
          <w:p>
            <w:r/>
          </w:p>
        </w:tc>
      </w:tr>
      <w:tr>
        <w:tc>
          <w:tcPr>
            <w:tcW w:type="dxa" w:w="1806"/>
          </w:tcPr>
          <w:p>
            <w:r>
              <w:t>Diferidos</w:t>
            </w:r>
          </w:p>
        </w:tc>
        <w:tc>
          <w:tcPr>
            <w:tcW w:type="dxa" w:w="1806"/>
          </w:tcPr>
          <w:p>
            <w:r/>
          </w:p>
        </w:tc>
        <w:tc>
          <w:tcPr>
            <w:tcW w:type="dxa" w:w="1806"/>
          </w:tcPr>
          <w:p>
            <w:r/>
          </w:p>
        </w:tc>
        <w:tc>
          <w:tcPr>
            <w:tcW w:type="dxa" w:w="1806"/>
          </w:tcPr>
          <w:p>
            <w:r/>
          </w:p>
        </w:tc>
        <w:tc>
          <w:tcPr>
            <w:tcW w:type="dxa" w:w="1806"/>
          </w:tcPr>
          <w:p>
            <w:r/>
          </w:p>
        </w:tc>
      </w:tr>
    </w:tbl>
    <w:p/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