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Audi Chapa — Abril 2026</w:t>
      </w:r>
    </w:p>
    <w:p>
      <w:pPr>
        <w:jc w:val="center"/>
      </w:pPr>
      <w:r>
        <w:rPr>
          <w:color w:val="444444"/>
          <w:sz w:val="24"/>
        </w:rPr>
        <w:t>Luis Ramos · Rivas Audi Chapa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Variación recambios respecto a hace 2 años: +41.80%.</w:t>
      </w:r>
    </w:p>
    <w:p>
      <w:pPr>
        <w:pStyle w:val="ListBullet"/>
      </w:pPr>
      <w:r>
        <w:t>Variación mano de obra respecto a hace 2 años: +40.64%.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15 | Iron Man ICC: posición 15 en el ranking de marca. Posición aceptable.</w:t>
      </w:r>
    </w:p>
    <w:p>
      <w:pPr>
        <w:pStyle w:val="ListBullet"/>
      </w:pPr>
      <w:r>
        <w:t>Horch Lauden: posición 38. Posición aceptable.</w:t>
      </w:r>
    </w:p>
    <w:p/>
    <w:p>
      <w:pPr>
        <w:pStyle w:val="Heading1"/>
      </w:pPr>
      <w:r>
        <w:t>Cuadro de Calidad CX 2026</w:t>
      </w:r>
    </w:p>
    <w:p>
      <w:r>
        <w:t>Rivas Audi (51AQ1 AU) — Audi Service</w:t>
      </w:r>
    </w:p>
    <w:p>
      <w: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Medidas de Servicio (EC28): 0,00% — 2/2 pts  |  Referencia: 0pts &gt;5% | 1pt ≤5% | 2pts ≤1%</w:t>
      </w:r>
    </w:p>
    <w:p>
      <w:pPr>
        <w:pStyle w:val="ListBullet"/>
      </w:pPr>
      <w:r>
        <w:t>Conectividad Posventa: 47,76% — 2/2 pts  |  Referencia: 0pts &lt;25% | 1pt ≥25%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Satisfacción General (CEM Q4): 4,69 — 1/2 pts  |  Referencia: 0pts &lt;4,60 | 1pt ≥4,60 | 2pts ≥4,80</w:t>
      </w:r>
    </w:p>
    <w:p>
      <w:pPr>
        <w:pStyle w:val="ListBullet"/>
      </w:pPr>
      <w:r>
        <w:t>Información Proceso (TRS): 62,50% — 0/2 pts  |  Referencia: 0pts &lt;80% | 1pt ≥80% | 2pts ≥90%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Mirar comentarios de Calidad en el portal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Chapa express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Reparacion de lunas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Registrar todos los kits de reparación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Recuperacion de siniestros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