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VW Chapa — Abril 2026</w:t>
      </w:r>
    </w:p>
    <w:p>
      <w:pPr>
        <w:jc w:val="center"/>
      </w:pPr>
      <w:r>
        <w:rPr>
          <w:color w:val="444444"/>
          <w:sz w:val="24"/>
        </w:rPr>
        <w:t>Luis Ramos · Rivas VW Chapa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Variación recambios respecto a hace 2 años: +12.16%.</w:t>
      </w:r>
    </w:p>
    <w:p>
      <w:pPr>
        <w:pStyle w:val="ListBullet"/>
      </w:pPr>
      <w:r>
        <w:t>Variación mano de obra respecto a hace 2 años: +18.52%.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23 | Iron Man ICC: posición 23 en el ranking de marca. Posición aceptable.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107. Requiere atención.</w:t>
      </w:r>
    </w:p>
    <w:p/>
    <w:p>
      <w:pPr>
        <w:pStyle w:val="Heading1"/>
      </w:pPr>
      <w:r>
        <w:t>Cuadro de Calidad CX 2026</w:t>
      </w:r>
    </w:p>
    <w:p>
      <w:r>
        <w:t>Rivas VW (30070 VW) — VW Turismos</w:t>
      </w:r>
    </w:p>
    <w:p>
      <w:r>
        <w:t>Total: 6/8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Google Business Profile (GBP): 100,00% — 2/2 pts  |  Referencia: 0pts &lt;80% | 1pt ≥80% | 2pts 100%</w:t>
      </w:r>
    </w:p>
    <w:p>
      <w:pPr>
        <w:pStyle w:val="ListBullet"/>
      </w:pPr>
      <w:r>
        <w:t>Medidas de Servicio (EC28): 0,50% — 2/2 pts  |  Referencia: 0pts &gt;5% | 1pt ≤5% | 2pts ≤3%</w:t>
      </w:r>
    </w:p>
    <w:p>
      <w:pPr>
        <w:pStyle w:val="ListBullet"/>
      </w:pPr>
      <w:r>
        <w:t>Club Volkswagen Postventa: 7,86% — 2/2 pts  |  Referencia: 0pts &lt;3% | 1pt ≥3% | 2pts ≥6%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Conectividad Posventa: 16,18% — 0/2 pts  |  Referencia: 0pts &lt;25% | 1pt ≥25% | 2pts ≥40%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Venta cruzada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Chapa express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Registrar todos los kits de reparación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Reparacion de lunas. Y también hacer cursos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Productividad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Tiempo de ciclo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