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Abril 2026</w:t>
      </w:r>
    </w:p>
    <w:p>
      <w:pPr>
        <w:jc w:val="center"/>
      </w:pPr>
      <w:r>
        <w:rPr>
          <w:color w:val="444444"/>
          <w:sz w:val="24"/>
        </w:rPr>
        <w:t>Magán · Canarias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309.38 pts (posición 3/18 del ranking): por encima del objetivo de 200 pts.</w:t>
      </w:r>
    </w:p>
    <w:p>
      <w:pPr>
        <w:pStyle w:val="ListBullet"/>
      </w:pPr>
      <w:r>
        <w:t>Por encima de la media: Amortiguadores: 31.25 pts (media 19.6 pts) ✓ | Baterías: 18.75 pts (media 11.0 pts) ✓ | Discos: 32.81 pts (media 20.6 pts) ✓ | Neumáticos: 95.31 pts (media 75.7 pts) ✓ | Pastillas: 68.75 pts (media 49.5 pts) ✓.</w:t>
      </w:r>
    </w:p>
    <w:p>
      <w:pPr>
        <w:pStyle w:val="ListBullet"/>
      </w:pPr>
      <w:r>
        <w:t>Fidelidad: 63.53% (media equipo: 63.48%). Por encima o en línea con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Escobillas: 48.44 pts (media 52.9 pts) | Parabrisas: 14.06 pts (media 17.1 pts).</w:t>
      </w:r>
    </w:p>
    <w:p>
      <w:pPr>
        <w:pStyle w:val="ListBullet"/>
      </w:pPr>
      <w:r>
        <w:t>Full/Long Drive: 9 operaciones (media equipo: 11.1). Por debajo de la media.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6.00 (30 puntos Iron Man). Buen resultado.</w:t>
      </w:r>
    </w:p>
    <w:p/>
    <w:p>
      <w:pPr>
        <w:pStyle w:val="Heading1"/>
      </w:pPr>
      <w:r>
        <w:t>Procesos</w:t>
      </w:r>
    </w:p>
    <w:p>
      <w:r>
        <w:t>Sin datos registrados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Horch Lauden: posición 51. Requiere atención.</w:t>
      </w:r>
    </w:p>
    <w:p/>
    <w:p>
      <w:pPr>
        <w:pStyle w:val="Heading1"/>
      </w:pPr>
      <w:r>
        <w:t>Cuadro de Calidad CX 2026</w:t>
      </w:r>
    </w:p>
    <w:p>
      <w:r>
        <w:t>Canarias (51AQ3 AU) — Audi Service</w:t>
      </w:r>
    </w:p>
    <w:p>
      <w: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4,80 — 2/2 pts  |  Referencia: 0pts &lt;4,60 | 1pt ≥4,60 | 2pts ≥4,80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1,72% — 1/2 pts  |  Referencia: 0pts &gt;5% | 1pt ≤5% | 2pts ≤1%</w:t>
      </w:r>
    </w:p>
    <w:p>
      <w:pPr>
        <w:pStyle w:val="ListBullet"/>
      </w:pPr>
      <w:r>
        <w:t>Información Proceso (TRS): 87,50% — 1/2 pts  |  Referencia: 0pts &lt;80% | 1pt ≥80% | 2pts ≥90%</w:t>
      </w:r>
    </w:p>
    <w:p>
      <w:pPr>
        <w:pStyle w:val="ListBullet"/>
      </w:pPr>
      <w:r>
        <w:t>Conectividad Posventa: 38,71% — 1/2 pts  |  Referencia: 0pts &lt;25% | 1pt ≥25% | 2pts ≥45%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Asesor</w:t>
      </w:r>
    </w:p>
    <w:p>
      <w:pPr>
        <w:pStyle w:val="ListBullet"/>
      </w:pPr>
      <w:r>
        <w:t>Diferidos Acum.: 11% (media equipo: 16%; bueno ≥8%) — en rango positivo</w:t>
      </w:r>
    </w:p>
    <w:p>
      <w:pPr>
        <w:pStyle w:val="ListBullet"/>
      </w:pPr>
      <w:r>
        <w:t>Multimedia Acum.: 6,0 (media equipo: 6,1;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5,5 (media equipo: 6,2) — por debajo de la media</w:t>
      </w:r>
    </w:p>
    <w:p>
      <w:pPr>
        <w:pStyle w:val="ListBullet"/>
      </w:pPr>
      <w:r>
        <w:t>Service CAM Acum.: 3% (media equipo: 8%; bueno ≥8%) — por debajo del objetivo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Utilizar el Laser de desgaste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Full drive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Mirar las condiciones de la copa horch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Conectividad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Service Cam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