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Seguimiento Rivas VW — Abril 2026</w:t>
      </w:r>
    </w:p>
    <w:p>
      <w:pPr>
        <w:jc w:val="center"/>
      </w:pPr>
      <w:r>
        <w:rPr>
          <w:color w:val="444444"/>
          <w:sz w:val="24"/>
        </w:rPr>
        <w:t>Nuria · Rivas VW / Industriales</w:t>
      </w:r>
    </w:p>
    <w:p>
      <w:pPr>
        <w:jc w:val="center"/>
      </w:pPr>
      <w:r>
        <w:rPr>
          <w:color w:val="888888"/>
          <w:sz w:val="20"/>
        </w:rPr>
        <w:t>Fecha: 07/05/2026</w:t>
      </w:r>
    </w:p>
    <w:p/>
    <w:p>
      <w:pPr>
        <w:pStyle w:val="Heading1"/>
      </w:pPr>
      <w:r>
        <w:t>Proactividad comercial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Desgaste total 130.32 pts (posición 18/18 del ranking): por debajo del objetivo de 200 pts. Seguimiento prioritario.</w:t>
      </w:r>
    </w:p>
    <w:p>
      <w:pPr>
        <w:pStyle w:val="ListBullet"/>
      </w:pPr>
      <w:r>
        <w:t>Detalle por categoría: Amortiguadores: 9.03 pts | Baterías: 3.23 pts | Discos: 9.03 pts | Escobillas: 38.71 pts | Neumáticos: 32.26 pts | Parabrisas: 1.29 pts | Pastillas: 36.77 pts.</w:t>
      </w:r>
    </w:p>
    <w:p>
      <w:pPr>
        <w:pStyle w:val="ListBullet"/>
      </w:pPr>
      <w:r>
        <w:t>Full/Long Drive: 1 operaciones (media equipo: 11.1). Por debajo de la media.</w:t>
      </w:r>
    </w:p>
    <w:p/>
    <w:p>
      <w:pPr>
        <w:pStyle w:val="Heading1"/>
      </w:pPr>
      <w:r>
        <w:t>Digital</w:t>
      </w:r>
    </w:p>
    <w:p>
      <w:r>
        <w:t>Sin datos registrados</w:t>
      </w:r>
    </w:p>
    <w:p/>
    <w:p>
      <w:pPr>
        <w:pStyle w:val="Heading1"/>
      </w:pPr>
      <w:r>
        <w:t>Calidad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CAL1SEM: 6.00 (30 puntos Iron Man). Buen resultado.</w:t>
      </w:r>
    </w:p>
    <w:p/>
    <w:p>
      <w:pPr>
        <w:pStyle w:val="Heading1"/>
      </w:pPr>
      <w:r>
        <w:t>Procesos</w:t>
      </w:r>
    </w:p>
    <w:p>
      <w:r>
        <w:t>Sin datos registrados</w:t>
      </w:r>
    </w:p>
    <w:p/>
    <w:p>
      <w:pPr>
        <w:pStyle w:val="Heading1"/>
      </w:pPr>
      <w:r>
        <w:t>Recursos generales</w:t>
      </w:r>
    </w:p>
    <w:p>
      <w:r>
        <w:t>Sin datos registrados</w:t>
      </w:r>
    </w:p>
    <w:p/>
    <w:p>
      <w:pPr>
        <w:pStyle w:val="Heading1"/>
      </w:pPr>
      <w:r>
        <w:t>Horch Lauden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Horch Lauden: posición 102. Requiere atención.</w:t>
      </w:r>
    </w:p>
    <w:p/>
    <w:p>
      <w:pPr>
        <w:pStyle w:val="Heading1"/>
      </w:pPr>
      <w:r>
        <w:t>Cuadro de Calidad CX 2026</w:t>
      </w:r>
    </w:p>
    <w:p>
      <w:r>
        <w:t>Rivas VW (30070 VW) — VW Turismos</w:t>
      </w:r>
    </w:p>
    <w:p>
      <w:r>
        <w:t>Total: 6/8 puntos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Google Business Profile (GBP): 100,00% — 2/2 pts  |  Referencia: 0pts &lt;80% | 1pt ≥80% | 2pts 100%</w:t>
      </w:r>
    </w:p>
    <w:p>
      <w:pPr>
        <w:pStyle w:val="ListBullet"/>
      </w:pPr>
      <w:r>
        <w:t>Medidas de Servicio (EC28): 0,50% — 2/2 pts  |  Referencia: 0pts &gt;5% | 1pt ≤5% | 2pts ≤3%</w:t>
      </w:r>
    </w:p>
    <w:p>
      <w:pPr>
        <w:pStyle w:val="ListBullet"/>
      </w:pPr>
      <w:r>
        <w:t>Club Volkswagen Postventa: 7,86% — 2/2 pts  |  Referencia: 0pts &lt;3% | 1pt ≥3% | 2pts ≥6%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Conectividad Posventa: 16,18% — 0/2 pts  |  Referencia: 0pts &lt;25% | 1pt ≥25% | 2pts ≥40%</w:t>
      </w:r>
    </w:p>
    <w:p>
      <w:r>
        <w:t>Industriales (30070 LCV) — VW Comerciales</w:t>
      </w:r>
    </w:p>
    <w:p>
      <w:r>
        <w:t>Total: 3/8 puntos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Servicios Rápidos (en el día): 65,85% — 2/2 pts  |  Referencia: 0pts &lt;40% | 1pt ≥40% | 2pts ≥45%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Satisfacción General (CEM): 4,47 — 0/2 pts  |  Referencia: 0pts &lt;4,52 | 1pt ≥4,52 | 2pts ≥4,62</w:t>
      </w:r>
    </w:p>
    <w:p>
      <w:pPr>
        <w:pStyle w:val="ListBullet"/>
      </w:pPr>
      <w:r>
        <w:t>Medidas de Servicio (EC28): 9,52% — 0/2 pts  |  Referencia: 0pts &gt;5% | 1pt ≤5% | 2pts ≤3%</w:t>
      </w:r>
    </w:p>
    <w:p>
      <w:pPr>
        <w:pStyle w:val="ListBullet"/>
      </w:pPr>
      <w:r>
        <w:t>Conectividad Posventa: 17,48% — 1/2 pts  |  Referencia: 0pts &lt;10% | 1pt ≥10% | 2pts ≥25%</w:t>
      </w:r>
    </w:p>
    <w:p/>
    <w:p>
      <w:pPr>
        <w:pStyle w:val="Heading1"/>
      </w:pPr>
      <w:r>
        <w:t>ONE KVPS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Instalación ONE: Asesor</w:t>
      </w:r>
    </w:p>
    <w:p>
      <w:pPr>
        <w:pStyle w:val="ListBullet"/>
      </w:pPr>
      <w:r>
        <w:t>Score SEM: 8,7 (media equipo: 6,2) — por encima de la media</w:t>
      </w:r>
    </w:p>
    <w:p>
      <w:pPr>
        <w:pStyle w:val="ListBullet"/>
      </w:pPr>
      <w:r>
        <w:t>Diferidos Acum.: 8% (media equipo: 16%; bueno ≥8%) — en rango positivo</w:t>
      </w:r>
    </w:p>
    <w:p>
      <w:pPr>
        <w:pStyle w:val="ListBullet"/>
      </w:pPr>
      <w:r>
        <w:t>Multimedia Acum.: 8,2 (media equipo: 6,1; bueno ≥5) — en rango positivo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Service CAM Acum.: 5% (media equipo: 8%; bueno ≥8%) — en rango regular</w:t>
      </w:r>
    </w:p>
    <w:p/>
    <w:p>
      <w:pPr>
        <w:pStyle w:val="Heading1"/>
      </w:pPr>
      <w:r>
        <w:t>Tareas pendientes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</w:tcPr>
          <w:p>
            <w:r>
              <w:rPr>
                <w:b/>
              </w:rPr>
              <w:t>Tarea</w:t>
            </w:r>
          </w:p>
        </w:tc>
        <w:tc>
          <w:tcPr>
            <w:tcW w:type="dxa" w:w="1806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1806"/>
          </w:tcPr>
          <w:p>
            <w:r>
              <w:rPr>
                <w:b/>
              </w:rPr>
              <w:t>Fecha límite</w:t>
            </w:r>
          </w:p>
        </w:tc>
        <w:tc>
          <w:tcPr>
            <w:tcW w:type="dxa" w:w="1806"/>
          </w:tcPr>
          <w:p>
            <w:r>
              <w:rPr>
                <w:b/>
              </w:rPr>
              <w:t>Observaciones</w:t>
            </w:r>
          </w:p>
        </w:tc>
        <w:tc>
          <w:tcPr>
            <w:tcW w:type="dxa" w:w="1806"/>
          </w:tcPr>
          <w:p>
            <w:r>
              <w:rPr>
                <w:b/>
              </w:rPr>
              <w:t>Grado de cumplimentación</w:t>
            </w:r>
          </w:p>
        </w:tc>
      </w:tr>
      <w:tr>
        <w:tc>
          <w:tcPr>
            <w:tcW w:type="dxa" w:w="1806"/>
          </w:tcPr>
          <w:p>
            <w:r>
              <w:t>Utilizar el Laser de desgaste.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Sigue con la evolución que llevas en desgaste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Diferidos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