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Moncloa — Abril 2026</w:t>
      </w:r>
    </w:p>
    <w:p>
      <w:pPr>
        <w:jc w:val="center"/>
      </w:pPr>
      <w:r>
        <w:rPr>
          <w:color w:val="444444"/>
          <w:sz w:val="24"/>
        </w:rPr>
        <w:t>Raúl Muñoz · Moncloa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204.97 pts (posición 14/18 del ranking): por encima del objetivo de 200 pts.</w:t>
      </w:r>
    </w:p>
    <w:p>
      <w:pPr>
        <w:pStyle w:val="ListBullet"/>
      </w:pPr>
      <w:r>
        <w:t>Por encima de la media: Escobillas: 54.70 pts (media 52.9 pts) ✓ | Pastillas: 51.93 pts (media 49.5 pts) ✓.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11.05 pts (media 19.6 pts) | Baterías: 9.94 pts (media 11.0 pts) | Discos: 16.57 pts (media 20.6 pts) | Neumáticos: 59.67 pts (media 75.7 pts) | Parabrisas: 1.10 pts (media 17.1 pts).</w:t>
      </w:r>
    </w:p>
    <w:p>
      <w:pPr>
        <w:pStyle w:val="ListBullet"/>
      </w:pPr>
      <w:r>
        <w:t>Full/Long Drive: 5 operaciones (media equipo: 11.1). Por debajo de la media.</w:t>
      </w:r>
    </w:p>
    <w:p>
      <w:pPr>
        <w:pStyle w:val="ListBullet"/>
      </w:pPr>
      <w:r>
        <w:t>Fidelidad: 57.84% (media equipo: 63.48%).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(20 puntos Iron Man). Cumple el mínimo recomendado (5).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107. Requiere atención.</w:t>
      </w:r>
    </w:p>
    <w:p/>
    <w:p>
      <w:pPr>
        <w:pStyle w:val="Heading1"/>
      </w:pPr>
      <w:r>
        <w:t>Cuadro de Calidad CX 2026</w:t>
      </w:r>
    </w:p>
    <w:p>
      <w:r>
        <w:t>Moncloa Audi (31523 AU) — Audi Service</w:t>
      </w:r>
    </w:p>
    <w:p>
      <w: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Medidas de Servicio (EC28): 0,00% — 2/2 pts  |  Referencia: 0pts &gt;5% | 1pt ≤5% | 2pts ≤1%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Satisfacción General (CEM Q4): 4,77 — 1/2 pts  |  Referencia: 0pts &lt;4,60 | 1pt ≥4,60 | 2pts ≥4,80</w:t>
      </w:r>
    </w:p>
    <w:p>
      <w:pPr>
        <w:pStyle w:val="ListBullet"/>
      </w:pPr>
      <w:r>
        <w:t>Información Proceso (TRS): 60,00% — 0/2 pts  |  Referencia: 0pts &lt;80% | 1pt ≥80% | 2pts ≥90%</w:t>
      </w:r>
    </w:p>
    <w:p>
      <w:pPr>
        <w:pStyle w:val="ListBullet"/>
      </w:pPr>
      <w:r>
        <w:t>Conectividad Posventa: 40,74% — 1/2 pts  |  Referencia: 0pts &lt;25% | 1pt ≥25% | 2pts ≥45%</w:t>
      </w:r>
    </w:p>
    <w:p>
      <w:r>
        <w:t>Moncloa VW (31523 VW) — VW Turismos</w:t>
      </w:r>
    </w:p>
    <w:p>
      <w: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(GBP): 100,00% — 2/2 pts  |  Referencia: 0pts &lt;80% | 1pt ≥80% | 2pts 100%</w:t>
      </w:r>
    </w:p>
    <w:p>
      <w:pPr>
        <w:pStyle w:val="ListBullet"/>
      </w:pPr>
      <w:r>
        <w:t>Medidas de Servicio (EC28): 1,35% — 2/2 pts  |  Referencia: 0pts &gt;5% | 1pt ≤5% | 2pts ≤3%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Conectividad Posventa: 7,32% — 0/2 pts  |  Referencia: 0pts &lt;25% | 1pt ≥25% | 2pts ≥40%</w:t>
      </w:r>
    </w:p>
    <w:p>
      <w:pPr>
        <w:pStyle w:val="ListBullet"/>
      </w:pPr>
      <w:r>
        <w:t>Club Volkswagen Postventa: 4,58% — 1/2 pts  |  Referencia: 0pts &lt;3% | 1pt ≥3% | 2pts ≥6%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7,9 (media equipo: 6,2) — por encima de la media</w:t>
      </w:r>
    </w:p>
    <w:p>
      <w:pPr>
        <w:pStyle w:val="ListBullet"/>
      </w:pPr>
      <w:r>
        <w:t>Diferidos Acum.: 15% (media equipo: 16%; bueno ≥8%) — en rango positivo</w:t>
      </w:r>
    </w:p>
    <w:p>
      <w:pPr>
        <w:pStyle w:val="ListBullet"/>
      </w:pPr>
      <w:r>
        <w:t>Multimedia Acum.: 5,1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Service CAM Acum.: 4% (media equipo: 8%;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