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jc w:val="center"/>
      </w:pPr>
      <w:r>
        <w:rPr>
          <w:rFonts w:ascii="Times New Roman" w:cs="Times New Roman" w:eastAsia="Times New Roman" w:hAnsi="Times New Roman"/>
          <w:b/>
          <w:bCs/>
          <w:caps w:val="false"/>
          <w:sz w:val="32"/>
          <w:szCs w:val="32"/>
        </w:rPr>
        <w:t xml:space="preserve">CONTRATO DE COMPRAVENTA DE BIEN FUTURO</w:t>
      </w:r>
    </w:p>
    <w:p>
      <w:pPr>
        <w:spacing w:after="200"/>
      </w:pPr>
      <w:r>
        <w:rPr>
          <w:rFonts w:ascii="Times New Roman" w:cs="Times New Roman" w:eastAsia="Times New Roman" w:hAnsi="Times New Roman"/>
          <w:sz w:val="24"/>
          <w:szCs w:val="24"/>
        </w:rPr>
        <w:t xml:space="preserve"/>
      </w:r>
    </w:p>
    <w:p>
      <w:pPr>
        <w:spacing w:after="200" w:line="360"/>
        <w:jc w:val="both"/>
      </w:pPr>
      <w:r>
        <w:rPr>
          <w:rFonts w:ascii="Times New Roman" w:cs="Times New Roman" w:eastAsia="Times New Roman" w:hAnsi="Times New Roman"/>
          <w:b w:val="false"/>
          <w:bCs w:val="false"/>
          <w:i w:val="false"/>
          <w:iCs w:val="false"/>
          <w:sz w:val="24"/>
          <w:szCs w:val="24"/>
        </w:rPr>
        <w:t xml:space="preserve">Conste por el presente documento el </w:t>
      </w:r>
      <w:r>
        <w:rPr>
          <w:rFonts w:ascii="Times New Roman" w:cs="Times New Roman" w:eastAsia="Times New Roman" w:hAnsi="Times New Roman"/>
          <w:b/>
          <w:bCs/>
          <w:i w:val="false"/>
          <w:iCs w:val="false"/>
          <w:sz w:val="24"/>
          <w:szCs w:val="24"/>
        </w:rPr>
        <w:t xml:space="preserve">CONTRATO DE COMPRAVENTA DE BIEN FUTURO</w:t>
      </w:r>
      <w:r>
        <w:rPr>
          <w:rFonts w:ascii="Times New Roman" w:cs="Times New Roman" w:eastAsia="Times New Roman" w:hAnsi="Times New Roman"/>
          <w:b w:val="false"/>
          <w:bCs w:val="false"/>
          <w:i w:val="false"/>
          <w:iCs w:val="false"/>
          <w:sz w:val="24"/>
          <w:szCs w:val="24"/>
        </w:rPr>
        <w:t xml:space="preserve"> que celebran:</w:t>
      </w:r>
    </w:p>
    <w:p>
      <w:pPr>
        <w:spacing w:after="200" w:line="360"/>
        <w:jc w:val="both"/>
      </w:pPr>
      <w:r>
        <w:rPr>
          <w:rFonts w:ascii="Times New Roman" w:cs="Times New Roman" w:eastAsia="Times New Roman" w:hAnsi="Times New Roman"/>
          <w:b w:val="false"/>
          <w:bCs w:val="false"/>
          <w:i w:val="false"/>
          <w:iCs w:val="false"/>
          <w:sz w:val="24"/>
          <w:szCs w:val="24"/>
        </w:rPr>
        <w:t xml:space="preserve">DE UNA PARTE Y COMO </w:t>
      </w:r>
      <w:r>
        <w:rPr>
          <w:rFonts w:ascii="Times New Roman" w:cs="Times New Roman" w:eastAsia="Times New Roman" w:hAnsi="Times New Roman"/>
          <w:b/>
          <w:bCs/>
          <w:i w:val="false"/>
          <w:iCs w:val="false"/>
          <w:sz w:val="24"/>
          <w:szCs w:val="24"/>
        </w:rPr>
        <w:t xml:space="preserve">VENDEDOR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LA HAUS CONSTRUCTORA S.A.C.</w:t>
      </w:r>
      <w:r>
        <w:rPr>
          <w:rFonts w:ascii="Times New Roman" w:cs="Times New Roman" w:eastAsia="Times New Roman" w:hAnsi="Times New Roman"/>
          <w:b w:val="false"/>
          <w:bCs w:val="false"/>
          <w:i w:val="false"/>
          <w:iCs w:val="false"/>
          <w:sz w:val="24"/>
          <w:szCs w:val="24"/>
        </w:rPr>
        <w:t xml:space="preserve">, identificada con RUC N° 20611277211, con domicilio legal en Mz. X, Lote 31-A, Cooperativa COOPIP, distrito de San Martín de Porres, provincia y departamento de Lima, debidamente representada por el señor </w:t>
      </w:r>
      <w:r>
        <w:rPr>
          <w:rFonts w:ascii="Times New Roman" w:cs="Times New Roman" w:eastAsia="Times New Roman" w:hAnsi="Times New Roman"/>
          <w:b/>
          <w:bCs/>
          <w:i w:val="false"/>
          <w:iCs w:val="false"/>
          <w:sz w:val="24"/>
          <w:szCs w:val="24"/>
        </w:rPr>
        <w:t xml:space="preserve">PAUL STEVEN ACOSTA ARCE</w:t>
      </w:r>
      <w:r>
        <w:rPr>
          <w:rFonts w:ascii="Times New Roman" w:cs="Times New Roman" w:eastAsia="Times New Roman" w:hAnsi="Times New Roman"/>
          <w:b w:val="false"/>
          <w:bCs w:val="false"/>
          <w:i w:val="false"/>
          <w:iCs w:val="false"/>
          <w:sz w:val="24"/>
          <w:szCs w:val="24"/>
        </w:rPr>
        <w:t xml:space="preserve">, identificado con DNI N° 43654939, en su calidad de Gerente General, conforme a las facultades inscritas en la Partida Registral N° 15347756 del Registro de Personas Jurídicas de la Zona Registral N° IX – Sede Lima, a quien en adelante se denominará </w:t>
      </w:r>
      <w:r>
        <w:rPr>
          <w:rFonts w:ascii="Times New Roman" w:cs="Times New Roman" w:eastAsia="Times New Roman" w:hAnsi="Times New Roman"/>
          <w:b/>
          <w:bCs/>
          <w:i w:val="false"/>
          <w:iCs w:val="false"/>
          <w:sz w:val="24"/>
          <w:szCs w:val="24"/>
        </w:rPr>
        <w:t xml:space="preserve">EL VENDEDOR</w:t>
      </w:r>
      <w:r>
        <w:rPr>
          <w:rFonts w:ascii="Times New Roman" w:cs="Times New Roman" w:eastAsia="Times New Roman" w:hAnsi="Times New Roman"/>
          <w:b w:val="false"/>
          <w:bCs w:val="false"/>
          <w:i w:val="false"/>
          <w:iCs w:val="false"/>
          <w:sz w:val="24"/>
          <w:szCs w:val="24"/>
        </w:rPr>
        <w:t xml:space="preserve">.</w:t>
      </w:r>
    </w:p>
    <w:p>
      <w:pPr>
        <w:spacing w:after="200" w:line="360"/>
        <w:jc w:val="both"/>
      </w:pPr>
      <w:r>
        <w:rPr>
          <w:rFonts w:ascii="Times New Roman" w:cs="Times New Roman" w:eastAsia="Times New Roman" w:hAnsi="Times New Roman"/>
          <w:b w:val="false"/>
          <w:bCs w:val="false"/>
          <w:i w:val="false"/>
          <w:iCs w:val="false"/>
          <w:sz w:val="24"/>
          <w:szCs w:val="24"/>
        </w:rPr>
        <w:t xml:space="preserve">DE LA OTRA PARTE Y COMO </w:t>
      </w:r>
      <w:r>
        <w:rPr>
          <w:rFonts w:ascii="Times New Roman" w:cs="Times New Roman" w:eastAsia="Times New Roman" w:hAnsi="Times New Roman"/>
          <w:b/>
          <w:bCs/>
          <w:i w:val="false"/>
          <w:iCs w:val="false"/>
          <w:sz w:val="24"/>
          <w:szCs w:val="24"/>
        </w:rPr>
        <w:t xml:space="preserve">COMPRADOR</w:t>
      </w:r>
      <w:r>
        <w:rPr>
          <w:rFonts w:ascii="Times New Roman" w:cs="Times New Roman" w:eastAsia="Times New Roman" w:hAnsi="Times New Roman"/>
          <w:b w:val="false"/>
          <w:bCs w:val="false"/>
          <w:i w:val="false"/>
          <w:iCs w:val="false"/>
          <w:sz w:val="24"/>
          <w:szCs w:val="24"/>
        </w:rPr>
        <w:t xml:space="preserve">: la señora YADIRA LISSET CABALLERO NOEL, de nacionalidad peruana, identificada con DNI N° 44578531, de estado civil soltera, con domicilio en Prolongación Arequipa N° 250, distrito de Barranca, provincia de Barranca, departamento de Lima, correo electrónico residencialvivapro203@gmail.com, teléfono +51 984 230 507, a quien en adelante se denominará </w:t>
      </w:r>
      <w:r>
        <w:rPr>
          <w:rFonts w:ascii="Times New Roman" w:cs="Times New Roman" w:eastAsia="Times New Roman" w:hAnsi="Times New Roman"/>
          <w:b/>
          <w:bCs/>
          <w:i w:val="false"/>
          <w:iCs w:val="false"/>
          <w:sz w:val="24"/>
          <w:szCs w:val="24"/>
        </w:rPr>
        <w:t xml:space="preserve">EL COMPRADOR</w:t>
      </w:r>
      <w:r>
        <w:rPr>
          <w:rFonts w:ascii="Times New Roman" w:cs="Times New Roman" w:eastAsia="Times New Roman" w:hAnsi="Times New Roman"/>
          <w:b w:val="false"/>
          <w:bCs w:val="false"/>
          <w:i w:val="false"/>
          <w:iCs w:val="false"/>
          <w:sz w:val="24"/>
          <w:szCs w:val="24"/>
        </w:rPr>
        <w:t xml:space="preserve">.</w:t>
      </w:r>
    </w:p>
    <w:p>
      <w:pPr>
        <w:spacing w:after="200" w:line="360"/>
        <w:jc w:val="both"/>
      </w:pPr>
      <w:r>
        <w:rPr>
          <w:rFonts w:ascii="Times New Roman" w:cs="Times New Roman" w:eastAsia="Times New Roman" w:hAnsi="Times New Roman"/>
          <w:b w:val="false"/>
          <w:bCs w:val="false"/>
          <w:i w:val="false"/>
          <w:iCs w:val="false"/>
          <w:sz w:val="24"/>
          <w:szCs w:val="24"/>
        </w:rPr>
        <w:t xml:space="preserve">Ambas partes declaran ser plenamente capaces, manifestar su voluntad libre, sin coacción, y suscribir el presente contrato en los términos siguientes:</w:t>
      </w:r>
    </w:p>
    <w:p>
      <w:pPr>
        <w:spacing w:after="200" w:before="320" w:line="360"/>
        <w:jc w:val="center"/>
      </w:pPr>
      <w:r>
        <w:rPr>
          <w:rFonts w:ascii="Times New Roman" w:cs="Times New Roman" w:eastAsia="Times New Roman" w:hAnsi="Times New Roman"/>
          <w:b/>
          <w:bCs/>
          <w:sz w:val="24"/>
          <w:szCs w:val="24"/>
        </w:rPr>
        <w:t xml:space="preserve">CLÁUSULA PRIMERA – ANTECEDENTES Y DESCRIPCIÓN DEL PROYECTO</w:t>
      </w:r>
    </w:p>
    <w:p>
      <w:pPr>
        <w:spacing w:after="200" w:line="360"/>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EL VENDEDOR es propietario del inmueble ubicado en Lote 45, Manzana JJ5, con frente a la Calle 22, Urbanización Pro Quinto Sector, Primera Etapa, distrito de Los Olivos, provincia y departamento de Lima, cuyo dominio, área, linderos, medidas perimétricas y demás características constan inscritas en la Partida Registral N° 11646446 del Registro de Predios de la Zona Registral N° IX – Sede Lima (en adelante, EL PREDIO MATRIZ).</w:t>
      </w:r>
    </w:p>
    <w:p>
      <w:pPr>
        <w:spacing w:after="200" w:line="360"/>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Sobre EL PREDIO MATRIZ, EL VENDEDOR viene construyendo un edificio multifamiliar (en adelante, EL EDIFICIO o EL PROYECTO) compuesto por un (1) semisótano y nueve (9) niveles, con veintiocho (28) unidades de propiedad exclusiva (departamentos) y seis (6) estacionamientos, todo ello conforme a los planos arquitectónicos del PROYECTO.</w:t>
      </w:r>
    </w:p>
    <w:p>
      <w:pPr>
        <w:spacing w:after="200" w:line="360"/>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EL VENDEDOR declara que EL EDIFICIO se encuentra actualmente en la ETAPA DE CASCO GRIS, y que su fecha estimada de terminación de obra y entrega es el 30 de enero de 2028.</w:t>
      </w:r>
    </w:p>
    <w:p>
      <w:pPr>
        <w:spacing w:after="200" w:line="360"/>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EL VENDEDOR declara que sobre EL PREDIO MATRIZ NO PESA hipoteca, gravamen, carga, medida judicial ni extrajudicial alguna que afecte su derecho y libre disposición, obligándose al saneamiento conforme a ley.</w:t>
      </w:r>
    </w:p>
    <w:p>
      <w:pPr>
        <w:spacing w:after="200" w:line="360"/>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EL VENDEDOR se obliga a tramitar, a su cargo y costo, la declaratoria de fábrica, el Reglamento Interno de Propiedad Exclusiva y Propiedad Común, y la independización de cada unidad inmobiliaria ante el Registro de Predios de la Zona Registral N° IX – Sede Lima.</w:t>
      </w:r>
    </w:p>
    <w:p>
      <w:pPr>
        <w:spacing w:after="200" w:line="360"/>
        <w:jc w:val="both"/>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EL COMPRADOR declara conocer y aceptar expresamente que, a la fecha de suscripción del presente contrato, todas las unidades inmobiliarias del PROYECTO, incluida la materia del presente contrato, tienen la condición de BIENES FUTUROS conforme al artículo 1534 del Código Civil, y que sus áreas, linderos y medidas perimétricas definitivas quedarán determinadas en las partidas registrales independientes que se generen como consecuencia de la independización.</w:t>
      </w:r>
    </w:p>
    <w:p>
      <w:pPr>
        <w:spacing w:after="200" w:before="320" w:line="360"/>
        <w:jc w:val="center"/>
      </w:pPr>
      <w:r>
        <w:rPr>
          <w:rFonts w:ascii="Times New Roman" w:cs="Times New Roman" w:eastAsia="Times New Roman" w:hAnsi="Times New Roman"/>
          <w:b/>
          <w:bCs/>
          <w:sz w:val="24"/>
          <w:szCs w:val="24"/>
        </w:rPr>
        <w:t xml:space="preserve">CLÁUSULA SEGUNDA – NATURALEZA JURÍDICA, EXISTENCIA DEL BIEN, TRANSFERENCIA Y RIESGO</w:t>
      </w:r>
    </w:p>
    <w:p>
      <w:pPr>
        <w:spacing w:after="200" w:line="360"/>
        <w:jc w:val="both"/>
      </w:pPr>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rPr>
        <w:t xml:space="preserve">Las partes declaran que el presente contrato es una COMPRAVENTA DE BIEN FUTURO, regulada por los artículos 1534, 1535 y 1536 del Código Civil del Perú.</w:t>
      </w:r>
    </w:p>
    <w:p>
      <w:pPr>
        <w:spacing w:after="200" w:line="360"/>
        <w:jc w:val="both"/>
      </w:pPr>
      <w:r>
        <w:rPr>
          <w:rFonts w:ascii="Times New Roman" w:cs="Times New Roman" w:eastAsia="Times New Roman" w:hAnsi="Times New Roman"/>
          <w:b/>
          <w:bCs/>
          <w:sz w:val="24"/>
          <w:szCs w:val="24"/>
        </w:rPr>
        <w:t xml:space="preserve">2.2 EXISTENCIA DEL BIEN. </w:t>
      </w:r>
      <w:r>
        <w:rPr>
          <w:rFonts w:ascii="Times New Roman" w:cs="Times New Roman" w:eastAsia="Times New Roman" w:hAnsi="Times New Roman"/>
          <w:sz w:val="24"/>
          <w:szCs w:val="24"/>
        </w:rPr>
        <w:t xml:space="preserve">Las partes acuerdan expresamente que EL INMUEBLE se entenderá como existente y plenamente construido en la fecha de entrega material de la posesión a favor de EL COMPRADOR, mediante la entrega de llaves. En dicho momento, la condición suspensiva propia del bien futuro se entenderá automáticamente cumplida.</w:t>
      </w:r>
    </w:p>
    <w:p>
      <w:pPr>
        <w:spacing w:after="200" w:line="360"/>
        <w:jc w:val="both"/>
      </w:pPr>
      <w:r>
        <w:rPr>
          <w:rFonts w:ascii="Times New Roman" w:cs="Times New Roman" w:eastAsia="Times New Roman" w:hAnsi="Times New Roman"/>
          <w:b/>
          <w:bCs/>
          <w:sz w:val="24"/>
          <w:szCs w:val="24"/>
        </w:rPr>
        <w:t xml:space="preserve">2.3 TRANSFERENCIA DE PROPIEDAD. </w:t>
      </w:r>
      <w:r>
        <w:rPr>
          <w:rFonts w:ascii="Times New Roman" w:cs="Times New Roman" w:eastAsia="Times New Roman" w:hAnsi="Times New Roman"/>
          <w:sz w:val="24"/>
          <w:szCs w:val="24"/>
        </w:rPr>
        <w:t xml:space="preserve">No obstante la entrega de la posesión, la transferencia de propiedad de EL INMUEBLE no opera con la sola entrega de llaves, sino que queda reservada a favor de EL VENDEDOR, conforme al artículo 1583 del Código Civil y en concordancia con la cláusula octava, hasta el cumplimiento simultáneo de: (i) la suscripción de la Escritura Pública de Compraventa; y (ii) la cancelación íntegra del precio pactado en la cláusula cuarta. Producidos ambos hitos, la transferencia de propiedad operará de pleno derecho a favor de EL COMPRADOR, sin perjuicio de su posterior inscripción en SUNARP.</w:t>
      </w:r>
    </w:p>
    <w:p>
      <w:pPr>
        <w:spacing w:after="200" w:line="360"/>
        <w:jc w:val="both"/>
      </w:pPr>
      <w:r>
        <w:rPr>
          <w:rFonts w:ascii="Times New Roman" w:cs="Times New Roman" w:eastAsia="Times New Roman" w:hAnsi="Times New Roman"/>
          <w:b/>
          <w:bCs/>
          <w:sz w:val="24"/>
          <w:szCs w:val="24"/>
        </w:rPr>
        <w:t xml:space="preserve">2.4 </w:t>
      </w:r>
      <w:r>
        <w:rPr>
          <w:rFonts w:ascii="Times New Roman" w:cs="Times New Roman" w:eastAsia="Times New Roman" w:hAnsi="Times New Roman"/>
          <w:sz w:val="24"/>
          <w:szCs w:val="24"/>
        </w:rPr>
        <w:t>Si EL COMPRADOR no concurre a recibir EL INMUEBLE en la fecha convocada por EL VENDEDOR conforme al numeral 6.5, el riesgo de pérdida o deterioro de EL INMUEBLE se entenderá trasladado a EL COMPRADOR desde el día siguiente al de dicha convocatoria.</w:t>
      </w:r>
    </w:p>
    <w:p>
      <w:pPr>
        <w:spacing w:after="200" w:before="320" w:line="360"/>
        <w:jc w:val="center"/>
      </w:pPr>
      <w:r>
        <w:rPr>
          <w:rFonts w:ascii="Times New Roman" w:cs="Times New Roman" w:eastAsia="Times New Roman" w:hAnsi="Times New Roman"/>
          <w:b/>
          <w:bCs/>
          <w:sz w:val="24"/>
          <w:szCs w:val="24"/>
        </w:rPr>
        <w:t xml:space="preserve">CLÁUSULA TERCERA – OBJETO DEL CONTRATO</w:t>
      </w:r>
    </w:p>
    <w:p>
      <w:pPr>
        <w:spacing w:after="200" w:line="360"/>
        <w:jc w:val="both"/>
      </w:pPr>
      <w:r>
        <w:rPr>
          <w:rFonts w:ascii="Times New Roman" w:cs="Times New Roman" w:eastAsia="Times New Roman" w:hAnsi="Times New Roman"/>
          <w:b/>
          <w:bCs/>
          <w:sz w:val="24"/>
          <w:szCs w:val="24"/>
        </w:rPr>
        <w:t xml:space="preserve">3.1 </w:t>
      </w:r>
      <w:r>
        <w:rPr>
          <w:rFonts w:ascii="Times New Roman" w:cs="Times New Roman" w:eastAsia="Times New Roman" w:hAnsi="Times New Roman"/>
          <w:sz w:val="24"/>
          <w:szCs w:val="24"/>
        </w:rPr>
        <w:t>Por el presente contrato, EL VENDEDOR se obliga a transferir a EL COMPRADOR la propiedad de la siguiente unidad inmobiliaria del PROYECTO (en adelante, EL INMUEBLE), cuando esta llegue a tener existencia conforme a la cláusula segunda: Departamento N° 203, que en el Reglamento Interno y en la partida registral independiente se identificará como Unidad Inmobiliaria N° 7, ubicado en el segundo (2°) piso de EL EDIFICIO, con un área techada aproximada de 76 m² (SETENTA Y SEIS METROS CUADRADOS), tipología 3D-A, de tres (3) dormitorios, conforme a la Ficha Técnica del Departamento que como Anexo 1 forma parte integrante del presente contrato. El presente contrato no comprende estacionamiento ni depósito.</w:t>
      </w:r>
    </w:p>
    <w:p>
      <w:pPr>
        <w:spacing w:after="200" w:line="360"/>
        <w:jc w:val="both"/>
      </w:pPr>
      <w:r>
        <w:rPr>
          <w:rFonts w:ascii="Times New Roman" w:cs="Times New Roman" w:eastAsia="Times New Roman" w:hAnsi="Times New Roman"/>
          <w:b/>
          <w:bCs/>
          <w:sz w:val="24"/>
          <w:szCs w:val="24"/>
        </w:rPr>
        <w:t xml:space="preserve">3.2 </w:t>
      </w:r>
      <w:r>
        <w:rPr>
          <w:rFonts w:ascii="Times New Roman" w:cs="Times New Roman" w:eastAsia="Times New Roman" w:hAnsi="Times New Roman"/>
          <w:sz w:val="24"/>
          <w:szCs w:val="24"/>
        </w:rPr>
        <w:t xml:space="preserve">La transferencia se realiza ad corpus, comprendiendo todas sus edificaciones, usos, servidumbres, entradas, salidas y cuanto de hecho y por derecho le corresponda, con la única limitación derivada de la tolerancia de variación de área prevista en el numeral 3.5.</w:t>
      </w:r>
    </w:p>
    <w:p>
      <w:pPr>
        <w:spacing w:after="200" w:line="360"/>
        <w:jc w:val="both"/>
      </w:pPr>
      <w:r>
        <w:rPr>
          <w:rFonts w:ascii="Times New Roman" w:cs="Times New Roman" w:eastAsia="Times New Roman" w:hAnsi="Times New Roman"/>
          <w:b/>
          <w:bCs/>
          <w:sz w:val="24"/>
          <w:szCs w:val="24"/>
        </w:rPr>
        <w:t xml:space="preserve">3.3 </w:t>
      </w:r>
      <w:r>
        <w:rPr>
          <w:rFonts w:ascii="Times New Roman" w:cs="Times New Roman" w:eastAsia="Times New Roman" w:hAnsi="Times New Roman"/>
          <w:sz w:val="24"/>
          <w:szCs w:val="24"/>
        </w:rPr>
        <w:t>La distribución, áreas, medidas, acabados y demás características de EL INMUEBLE son las que constan en la Ficha Técnica del Departamento (Anexo 1), que se adjunta al presente contrato y forma parte integrante e inseparable del mismo.</w:t>
      </w:r>
    </w:p>
    <w:p>
      <w:pPr>
        <w:spacing w:after="200" w:line="360"/>
        <w:jc w:val="both"/>
      </w:pPr>
      <w:r>
        <w:rPr>
          <w:rFonts w:ascii="Times New Roman" w:cs="Times New Roman" w:eastAsia="Times New Roman" w:hAnsi="Times New Roman"/>
          <w:b/>
          <w:bCs/>
          <w:sz w:val="24"/>
          <w:szCs w:val="24"/>
        </w:rPr>
        <w:t xml:space="preserve">3.4 </w:t>
      </w:r>
      <w:r>
        <w:rPr>
          <w:rFonts w:ascii="Times New Roman" w:cs="Times New Roman" w:eastAsia="Times New Roman" w:hAnsi="Times New Roman"/>
          <w:sz w:val="24"/>
          <w:szCs w:val="24"/>
        </w:rPr>
        <w:t xml:space="preserve">EL INMUEBLE contará con medidor independiente de agua, energía eléctrica y gas natural (dos puntos).</w:t>
      </w:r>
    </w:p>
    <w:p>
      <w:pPr>
        <w:spacing w:after="200" w:line="360"/>
        <w:jc w:val="both"/>
      </w:pPr>
      <w:r>
        <w:rPr>
          <w:rFonts w:ascii="Times New Roman" w:cs="Times New Roman" w:eastAsia="Times New Roman" w:hAnsi="Times New Roman"/>
          <w:b/>
          <w:bCs/>
          <w:sz w:val="24"/>
          <w:szCs w:val="24"/>
        </w:rPr>
        <w:t xml:space="preserve">3.5 Variación de área. </w:t>
      </w:r>
      <w:r>
        <w:rPr>
          <w:rFonts w:ascii="Times New Roman" w:cs="Times New Roman" w:eastAsia="Times New Roman" w:hAnsi="Times New Roman"/>
          <w:sz w:val="24"/>
          <w:szCs w:val="24"/>
        </w:rPr>
        <w:t xml:space="preserve">EL COMPRADOR declara conocer y aceptar que, tratándose de una compraventa de bien futuro y como consecuencia del proceso constructivo, el área techada definitiva de EL INMUEBLE podrá variar respecto del área proyectada consignada en el numeral 3.1. Las partes acuerdan que las variaciones de hasta el cinco por ciento (±5%) del área techada proyectada no darán derecho a reclamo, ajuste de precio, resolución del contrato ni indemnización alguna, en consistencia con el carácter ad corpus de la transferencia. Cualquier variación superior se regulará de común acuerdo entre las partes.</w:t>
      </w:r>
    </w:p>
    <w:p>
      <w:pPr>
        <w:spacing w:after="200" w:before="320" w:line="360"/>
        <w:jc w:val="center"/>
      </w:pPr>
      <w:r>
        <w:rPr>
          <w:rFonts w:ascii="Times New Roman" w:cs="Times New Roman" w:eastAsia="Times New Roman" w:hAnsi="Times New Roman"/>
          <w:b/>
          <w:bCs/>
          <w:sz w:val="24"/>
          <w:szCs w:val="24"/>
        </w:rPr>
        <w:t xml:space="preserve">CLÁUSULA CUARTA – PRECIO Y FORMA DE PAGO</w:t>
      </w:r>
    </w:p>
    <w:p>
      <w:pPr>
        <w:spacing w:after="200" w:line="360"/>
        <w:jc w:val="both"/>
      </w:pPr>
      <w:r>
        <w:rPr>
          <w:rFonts w:ascii="Times New Roman" w:cs="Times New Roman" w:eastAsia="Times New Roman" w:hAnsi="Times New Roman"/>
          <w:b/>
          <w:bCs/>
          <w:sz w:val="24"/>
          <w:szCs w:val="24"/>
        </w:rPr>
        <w:t xml:space="preserve">4.1 </w:t>
      </w:r>
      <w:r>
        <w:rPr>
          <w:rFonts w:ascii="Times New Roman" w:cs="Times New Roman" w:eastAsia="Times New Roman" w:hAnsi="Times New Roman"/>
          <w:sz w:val="24"/>
          <w:szCs w:val="24"/>
        </w:rPr>
        <w:t>El precio total de venta de EL INMUEBLE pactado libremente entre las partes es de S/ 320,000.00 (TRESCIENTOS VEINTE MIL CON 00/100 SOLES). El precio INCLUYE el Impuesto General a las Ventas (IGV) aplicable a la primera venta de inmuebles realizada por constructor habitual.</w:t>
      </w:r>
    </w:p>
    <w:p>
      <w:pPr>
        <w:spacing w:after="200" w:line="360"/>
        <w:jc w:val="both"/>
      </w:pPr>
      <w:r>
        <w:rPr>
          <w:rFonts w:ascii="Times New Roman" w:cs="Times New Roman" w:eastAsia="Times New Roman" w:hAnsi="Times New Roman"/>
          <w:b/>
          <w:bCs/>
          <w:sz w:val="24"/>
          <w:szCs w:val="24"/>
        </w:rPr>
        <w:t xml:space="preserve">4.2 </w:t>
      </w:r>
      <w:r>
        <w:rPr>
          <w:rFonts w:ascii="Times New Roman" w:cs="Times New Roman" w:eastAsia="Times New Roman" w:hAnsi="Times New Roman"/>
          <w:sz w:val="24"/>
          <w:szCs w:val="24"/>
        </w:rPr>
        <w:t>La forma de pago se efectuará de la siguiente manera:</w:t>
      </w:r>
    </w:p>
    <w:p>
      <w:pPr>
        <w:spacing w:after="16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SEPARACIÓN (ya abonada): la suma de S/ 3,500.00 (TRES MIL QUINIENTOS CON 00/100 SOLES), abonada por EL COMPRADOR con anterioridad a la firma como reserva de EL INMUEBLE, la cual se imputa al precio total y forma parte del primer aporte del veinte por ciento (20%) correspondiente a la firma del presente contrato.</w:t>
      </w:r>
    </w:p>
    <w:p>
      <w:pPr>
        <w:spacing w:after="16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ARRAS CONFIRMATORIAS – APORTE A LA FIRMA (20%): a la suscripción del presente contrato, con fecha 01 de septiembre de 2026, EL COMPRADOR completará el veinte por ciento (20%) del precio, equivalente a S/ 64,000.00 (SESENTA Y CUATRO MIL CON 00/100 SOLES). Considerando la separación ya abonada, el saldo a cancelar a la firma asciende a S/ 60,500.00 (SESENTA MIL QUINIENTOS CON 00/100 SOLES). Esta suma se imputa al precio como ARRAS CONFIRMATORIAS conforme a los artículos 1477 y 1478 del Código Civil, y se cancela mediante depósito o transferencia bancaria a la Cuenta Corriente en Soles N° 200-3007447734 (CCI 003-200-003007447734-37) del Banco Interbank a nombre de LA HAUS CONSTRUCTORA S.A.C.</w:t>
      </w:r>
    </w:p>
    <w:p>
      <w:pPr>
        <w:spacing w:after="16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SEGUNDO APORTE DIRECTO (20%): la suma de S/ 64,000.00 (SESENTA Y CUATRO MIL CON 00/100 SOLES), equivalente al veinte por ciento (20%) del precio, que EL COMPRADOR abonará el 30 de septiembre de 2026 en la cuenta señalada en el literal (b).</w:t>
      </w:r>
    </w:p>
    <w:p>
      <w:pPr>
        <w:spacing w:after="160" w:line="3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TERCER APORTE DIRECTO (20%): la suma de S/ 64,000.00 (SESENTA Y CUATRO MIL CON 00/100 SOLES), equivalente al veinte por ciento (20%) del precio, que EL COMPRADOR abonará el 28 de diciembre de 2026 en la cuenta señalada en el literal (b). Con este aporte, EL COMPRADOR habrá cancelado el sesenta por ciento (60%) del precio (S/ 192,000.00) mediante aporte directo durante la construcción. La fecha de este tercer aporte podrá reprogramarse a solicitud de EL COMPRADOR, siempre que cuente con la validación previa y por escrito de EL VENDEDOR.</w:t>
      </w:r>
    </w:p>
    <w:p>
      <w:pPr>
        <w:spacing w:after="160" w:line="3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SALDO FINAL (40%): la suma de S/ 128,000.00 (CIENTO VEINTIOCHO MIL CON 00/100 SOLES), equivalente al cuarenta por ciento (40%) del precio, será cancelada por EL COMPRADOR a la entrega de EL INMUEBLE, mediante crédito hipotecario, crédito personal o cualquier otro medio de pago bancarizado conforme al TUO de la Ley N° 28194, simultáneamente con la suscripción de la Escritura Pública de Compraventa. Este saldo se abonará en la misma cuenta señalada en el literal (b).</w:t>
      </w:r>
    </w:p>
    <w:p>
      <w:pPr>
        <w:spacing w:after="200" w:line="360"/>
        <w:jc w:val="both"/>
      </w:pPr>
      <w:r>
        <w:rPr>
          <w:rFonts w:ascii="Times New Roman" w:cs="Times New Roman" w:eastAsia="Times New Roman" w:hAnsi="Times New Roman"/>
          <w:b/>
          <w:bCs/>
          <w:sz w:val="24"/>
          <w:szCs w:val="24"/>
        </w:rPr>
        <w:t xml:space="preserve">4.3 </w:t>
      </w:r>
      <w:r>
        <w:rPr>
          <w:rFonts w:ascii="Times New Roman" w:cs="Times New Roman" w:eastAsia="Times New Roman" w:hAnsi="Times New Roman"/>
          <w:sz w:val="24"/>
          <w:szCs w:val="24"/>
        </w:rPr>
        <w:t xml:space="preserve">Si EL COMPRADOR no logra el financiamiento del SALDO FINAL por causas imputables a su situación financiera, EL VENDEDOR podrá, a su elección: (i) otorgar un plazo adicional para la obtención del financiamiento; o (ii) resolver el contrato de pleno derecho mediante carta notarial, aplicando la penalidad prevista en la cláusula novena.</w:t>
      </w:r>
    </w:p>
    <w:p>
      <w:pPr>
        <w:spacing w:after="200" w:line="360"/>
        <w:jc w:val="both"/>
      </w:pPr>
      <w:r>
        <w:rPr>
          <w:rFonts w:ascii="Times New Roman" w:cs="Times New Roman" w:eastAsia="Times New Roman" w:hAnsi="Times New Roman"/>
          <w:b/>
          <w:bCs/>
          <w:sz w:val="24"/>
          <w:szCs w:val="24"/>
        </w:rPr>
        <w:t xml:space="preserve">4.4 </w:t>
      </w:r>
      <w:r>
        <w:rPr>
          <w:rFonts w:ascii="Times New Roman" w:cs="Times New Roman" w:eastAsia="Times New Roman" w:hAnsi="Times New Roman"/>
          <w:sz w:val="24"/>
          <w:szCs w:val="24"/>
        </w:rPr>
        <w:t xml:space="preserve">Las partes declaran que entre el valor de EL INMUEBLE y el precio pactado existe la más justa equivalencia, renunciando recíprocamente a la acción de rescisión por lesión (artículo 1447 del Código Civil), salvo en los supuestos del artículo 1448, por ser de carácter irrenunciable.</w:t>
      </w:r>
    </w:p>
    <w:p>
      <w:pPr>
        <w:spacing w:after="200" w:before="320" w:line="360"/>
        <w:jc w:val="center"/>
      </w:pPr>
      <w:r>
        <w:rPr>
          <w:rFonts w:ascii="Times New Roman" w:cs="Times New Roman" w:eastAsia="Times New Roman" w:hAnsi="Times New Roman"/>
          <w:b/>
          <w:bCs/>
          <w:sz w:val="24"/>
          <w:szCs w:val="24"/>
        </w:rPr>
        <w:t xml:space="preserve">CLÁUSULA QUINTA – FINANCIAMIENTO DEL SALDO FINAL Y BONOS DEL ESTADO</w:t>
      </w:r>
    </w:p>
    <w:p>
      <w:pPr>
        <w:spacing w:after="200" w:line="360"/>
        <w:jc w:val="both"/>
      </w:pPr>
      <w:r>
        <w:rPr>
          <w:rFonts w:ascii="Times New Roman" w:cs="Times New Roman" w:eastAsia="Times New Roman" w:hAnsi="Times New Roman"/>
          <w:b/>
          <w:bCs/>
          <w:sz w:val="24"/>
          <w:szCs w:val="24"/>
        </w:rPr>
        <w:t xml:space="preserve">5.1 </w:t>
      </w:r>
      <w:r>
        <w:rPr>
          <w:rFonts w:ascii="Times New Roman" w:cs="Times New Roman" w:eastAsia="Times New Roman" w:hAnsi="Times New Roman"/>
          <w:sz w:val="24"/>
          <w:szCs w:val="24"/>
        </w:rPr>
        <w:t>Si EL COMPRADOR financia el SALDO FINAL pactado en el numeral 4.2 (e) mediante crédito hipotecario o crédito personal, se obliga a obtener la aprobación del crédito y a mantener la carta de aprobación bancaria vigente para el desembolso a la entrega del inmueble, de modo que el pago pueda efectuarse sin demora. La gestión, costos, plazos y resultado de la aprobación del crédito son de exclusiva responsabilidad de EL COMPRADOR. Se recomienda iniciar la evaluación crediticia con anticipación no menor a noventa (90) días previos a la fecha de desembolso.</w:t>
      </w:r>
    </w:p>
    <w:p>
      <w:pPr>
        <w:spacing w:after="200" w:line="360"/>
        <w:jc w:val="both"/>
      </w:pPr>
      <w:r>
        <w:rPr>
          <w:rFonts w:ascii="Times New Roman" w:cs="Times New Roman" w:eastAsia="Times New Roman" w:hAnsi="Times New Roman"/>
          <w:b/>
          <w:bCs/>
          <w:sz w:val="24"/>
          <w:szCs w:val="24"/>
        </w:rPr>
        <w:t xml:space="preserve">5.2 </w:t>
      </w:r>
      <w:r>
        <w:rPr>
          <w:rFonts w:ascii="Times New Roman" w:cs="Times New Roman" w:eastAsia="Times New Roman" w:hAnsi="Times New Roman"/>
          <w:sz w:val="24"/>
          <w:szCs w:val="24"/>
        </w:rPr>
        <w:t xml:space="preserve">La tramitación, calificación y aplicación de cualquier bono del Estado al que EL COMPRADOR pudiera tener acceso (incluidos, sin limitación, el Bono del Buen Pagador, el Bono Familiar Habitacional o cualquier subsidio del Fondo MiVivienda) son de exclusiva responsabilidad de EL COMPRADOR.</w:t>
      </w:r>
    </w:p>
    <w:p>
      <w:pPr>
        <w:spacing w:after="200" w:line="360"/>
        <w:jc w:val="both"/>
      </w:pPr>
      <w:r>
        <w:rPr>
          <w:rFonts w:ascii="Times New Roman" w:cs="Times New Roman" w:eastAsia="Times New Roman" w:hAnsi="Times New Roman"/>
          <w:b/>
          <w:bCs/>
          <w:sz w:val="24"/>
          <w:szCs w:val="24"/>
        </w:rPr>
        <w:t xml:space="preserve">5.3 </w:t>
      </w:r>
      <w:r>
        <w:rPr>
          <w:rFonts w:ascii="Times New Roman" w:cs="Times New Roman" w:eastAsia="Times New Roman" w:hAnsi="Times New Roman"/>
          <w:sz w:val="24"/>
          <w:szCs w:val="24"/>
        </w:rPr>
        <w:t xml:space="preserve">Si la entidad financiera condiciona el desembolso del crédito hipotecario a la suscripción de la Escritura Pública de Compraventa con constitución de hipoteca a su favor, EL VENDEDOR concurrirá a la notaría a suscribirla en la fecha que coordine la entidad, sin que ello sustituya las demás obligaciones del presente contrato.</w:t>
      </w:r>
    </w:p>
    <w:p>
      <w:pPr>
        <w:spacing w:after="200" w:line="360"/>
        <w:jc w:val="both"/>
      </w:pPr>
      <w:r>
        <w:rPr>
          <w:rFonts w:ascii="Times New Roman" w:cs="Times New Roman" w:eastAsia="Times New Roman" w:hAnsi="Times New Roman"/>
          <w:b/>
          <w:bCs/>
          <w:sz w:val="24"/>
          <w:szCs w:val="24"/>
        </w:rPr>
        <w:t xml:space="preserve">5.4 </w:t>
      </w:r>
      <w:r>
        <w:rPr>
          <w:rFonts w:ascii="Times New Roman" w:cs="Times New Roman" w:eastAsia="Times New Roman" w:hAnsi="Times New Roman"/>
          <w:sz w:val="24"/>
          <w:szCs w:val="24"/>
        </w:rPr>
        <w:t xml:space="preserve">Toda demora en la obtención del crédito imputable a EL COMPRADOR no exime del cumplimiento de los plazos pactados ni de las penalidades. La negativa definitiva del crédito por causas imputables a EL COMPRADOR habilita a EL VENDEDOR a aplicar la cláusula 4.3.</w:t>
      </w:r>
    </w:p>
    <w:p>
      <w:pPr>
        <w:spacing w:after="200" w:before="320" w:line="360"/>
        <w:jc w:val="center"/>
      </w:pPr>
      <w:r>
        <w:rPr>
          <w:rFonts w:ascii="Times New Roman" w:cs="Times New Roman" w:eastAsia="Times New Roman" w:hAnsi="Times New Roman"/>
          <w:b/>
          <w:bCs/>
          <w:sz w:val="24"/>
          <w:szCs w:val="24"/>
        </w:rPr>
        <w:t xml:space="preserve">CLÁUSULA SEXTA – PLAZO DE EXISTENCIA DEL BIEN, ENTREGA Y TOLERANCIA</w:t>
      </w:r>
    </w:p>
    <w:p>
      <w:pPr>
        <w:spacing w:after="200" w:line="360"/>
        <w:jc w:val="both"/>
      </w:pPr>
      <w:r>
        <w:rPr>
          <w:rFonts w:ascii="Times New Roman" w:cs="Times New Roman" w:eastAsia="Times New Roman" w:hAnsi="Times New Roman"/>
          <w:b/>
          <w:bCs/>
          <w:sz w:val="24"/>
          <w:szCs w:val="24"/>
        </w:rPr>
        <w:t xml:space="preserve">6.1 </w:t>
      </w:r>
      <w:r>
        <w:rPr>
          <w:rFonts w:ascii="Times New Roman" w:cs="Times New Roman" w:eastAsia="Times New Roman" w:hAnsi="Times New Roman"/>
          <w:sz w:val="24"/>
          <w:szCs w:val="24"/>
        </w:rPr>
        <w:t>La fecha estimada para la culminación de la obra y la entrega de EL INMUEBLE es el 30 de enero de 2028 (en adelante, FECHA ESTIMADA).</w:t>
      </w:r>
    </w:p>
    <w:p>
      <w:pPr>
        <w:spacing w:after="200" w:line="360"/>
        <w:jc w:val="both"/>
      </w:pPr>
      <w:r>
        <w:rPr>
          <w:rFonts w:ascii="Times New Roman" w:cs="Times New Roman" w:eastAsia="Times New Roman" w:hAnsi="Times New Roman"/>
          <w:b/>
          <w:bCs/>
          <w:sz w:val="24"/>
          <w:szCs w:val="24"/>
        </w:rPr>
        <w:t xml:space="preserve">6.2 </w:t>
      </w:r>
      <w:r>
        <w:rPr>
          <w:rFonts w:ascii="Times New Roman" w:cs="Times New Roman" w:eastAsia="Times New Roman" w:hAnsi="Times New Roman"/>
          <w:sz w:val="24"/>
          <w:szCs w:val="24"/>
        </w:rPr>
        <w:t xml:space="preserve">Las partes pactan una tolerancia de treinta (30) días calendario contados a partir de la FECHA ESTIMADA, dentro de los cuales EL VENDEDOR podrá efectuar la entrega sin que ello constituya incumplimiento, retraso ni habilite penalidad o indemnización alguna (en adelante, PLAZO CON TOLERANCIA).</w:t>
      </w:r>
    </w:p>
    <w:p>
      <w:pPr>
        <w:spacing w:after="200" w:line="360"/>
        <w:jc w:val="both"/>
      </w:pPr>
      <w:r>
        <w:rPr>
          <w:rFonts w:ascii="Times New Roman" w:cs="Times New Roman" w:eastAsia="Times New Roman" w:hAnsi="Times New Roman"/>
          <w:b/>
          <w:bCs/>
          <w:sz w:val="24"/>
          <w:szCs w:val="24"/>
        </w:rPr>
        <w:t xml:space="preserve">6.3 </w:t>
      </w:r>
      <w:r>
        <w:rPr>
          <w:rFonts w:ascii="Times New Roman" w:cs="Times New Roman" w:eastAsia="Times New Roman" w:hAnsi="Times New Roman"/>
          <w:sz w:val="24"/>
          <w:szCs w:val="24"/>
        </w:rPr>
        <w:t xml:space="preserve">El PLAZO CON TOLERANCIA se prorroga automáticamente por los días en que EL VENDEDOR se vea afectado por: (i) caso fortuito o fuerza mayor; (ii) demoras de autoridades administrativas (municipalidad, SUNARP, ministerios, empresas concesionarias de servicios); (iii) huelgas, paros, conflictos sociales o desabastecimiento de materiales; (iv) suspensión de obras por mandato legal o sanitario; o (v) cualquier otra causa no imputable a EL VENDEDOR, debidamente comunicada a EL COMPRADOR.</w:t>
      </w:r>
    </w:p>
    <w:p>
      <w:pPr>
        <w:spacing w:after="200" w:line="360"/>
        <w:jc w:val="both"/>
      </w:pPr>
      <w:r>
        <w:rPr>
          <w:rFonts w:ascii="Times New Roman" w:cs="Times New Roman" w:eastAsia="Times New Roman" w:hAnsi="Times New Roman"/>
          <w:b/>
          <w:bCs/>
          <w:sz w:val="24"/>
          <w:szCs w:val="24"/>
        </w:rPr>
        <w:t xml:space="preserve">6.4 </w:t>
      </w:r>
      <w:r>
        <w:rPr>
          <w:rFonts w:ascii="Times New Roman" w:cs="Times New Roman" w:eastAsia="Times New Roman" w:hAnsi="Times New Roman"/>
          <w:sz w:val="24"/>
          <w:szCs w:val="24"/>
        </w:rPr>
        <w:t>Si EL VENDEDOR no efectúa la entrega dentro del PLAZO CON TOLERANCIA (incluidas sus prórrogas) por causa imputable a él, pagará a EL COMPRADOR una penalidad moratoria equivalente al cero coma cero cuatro por ciento (0.04%) por cada día calendario de retraso, calculada sobre las sumas efectivamente pagadas por EL COMPRADOR a EL VENDEDOR a la fecha en que se devenga la penalidad. La penalidad acumulada tendrá un tope máximo equivalente al ocho por ciento (8%) de dichas sumas pagadas. Esta penalidad es exclusiva y excluyente de cualquier otra indemnización.</w:t>
      </w:r>
    </w:p>
    <w:p>
      <w:pPr>
        <w:spacing w:after="200" w:line="360"/>
        <w:jc w:val="both"/>
      </w:pPr>
      <w:r>
        <w:rPr>
          <w:rFonts w:ascii="Times New Roman" w:cs="Times New Roman" w:eastAsia="Times New Roman" w:hAnsi="Times New Roman"/>
          <w:b/>
          <w:bCs/>
          <w:sz w:val="24"/>
          <w:szCs w:val="24"/>
        </w:rPr>
        <w:t xml:space="preserve">6.5 PROCEDIMIENTO DE ENTREGA. </w:t>
      </w:r>
      <w:r>
        <w:rPr>
          <w:rFonts w:ascii="Times New Roman" w:cs="Times New Roman" w:eastAsia="Times New Roman" w:hAnsi="Times New Roman"/>
          <w:sz w:val="24"/>
          <w:szCs w:val="24"/>
        </w:rPr>
        <w:t>EL VENDEDOR convocará a EL COMPRADOR a la entrega mediante correo electrónico señalado por EL COMPRADOR en la introducción del contrato, con una anticipación no menor de cinco (5) días calendario. La entrega se documentará mediante Acta de Entrega suscrita por ambas partes. EL COMPRADOR podrá consignar en el Acta las observaciones que correspondan, las cuales deberán contar obligatoriamente con sustento técnico debidamente fundamentado. EL VENDEDOR contará con un plazo de quince (15) días calendario para subsanar las observaciones técnicamente sustentadas. No se considerarán válidas las observaciones que no cuenten con sustento técnico.</w:t>
      </w:r>
    </w:p>
    <w:p>
      <w:pPr>
        <w:spacing w:after="200" w:line="360"/>
        <w:jc w:val="both"/>
      </w:pPr>
      <w:r>
        <w:rPr>
          <w:rFonts w:ascii="Times New Roman" w:cs="Times New Roman" w:eastAsia="Times New Roman" w:hAnsi="Times New Roman"/>
          <w:b/>
          <w:bCs/>
          <w:sz w:val="24"/>
          <w:szCs w:val="24"/>
        </w:rPr>
        <w:t xml:space="preserve">6.6 </w:t>
      </w:r>
      <w:r>
        <w:rPr>
          <w:rFonts w:ascii="Times New Roman" w:cs="Times New Roman" w:eastAsia="Times New Roman" w:hAnsi="Times New Roman"/>
          <w:sz w:val="24"/>
          <w:szCs w:val="24"/>
        </w:rPr>
        <w:t xml:space="preserve">Con la entrega material de la posesión a favor de EL COMPRADOR se entenderá cumplida la condición suspensiva prevista en el numeral 2.2 (existencia del bien). La transferencia de propiedad operará de pleno derecho recién con la suscripción de la Escritura Pública de Compraventa y la cancelación íntegra del precio, conforme al numeral 2.3 y a la cláusula octava.</w:t>
      </w:r>
    </w:p>
    <w:p>
      <w:pPr>
        <w:spacing w:after="200" w:line="360"/>
        <w:jc w:val="both"/>
      </w:pPr>
      <w:r>
        <w:rPr>
          <w:rFonts w:ascii="Times New Roman" w:cs="Times New Roman" w:eastAsia="Times New Roman" w:hAnsi="Times New Roman"/>
          <w:b/>
          <w:bCs/>
          <w:sz w:val="24"/>
          <w:szCs w:val="24"/>
        </w:rPr>
        <w:t xml:space="preserve">6.7 </w:t>
      </w:r>
      <w:r>
        <w:rPr>
          <w:rFonts w:ascii="Times New Roman" w:cs="Times New Roman" w:eastAsia="Times New Roman" w:hAnsi="Times New Roman"/>
          <w:sz w:val="24"/>
          <w:szCs w:val="24"/>
        </w:rPr>
        <w:t xml:space="preserve">Desde la fecha de entrega, EL COMPRADOR pasará a formar parte de la Junta de Propietarios de EL EDIFICIO y asumirá la obligación de pago de los gastos comunes en el porcentaje o proporción que establezca la Junta de Propietarios.</w:t>
      </w:r>
    </w:p>
    <w:p>
      <w:pPr>
        <w:spacing w:after="200" w:line="360"/>
        <w:jc w:val="both"/>
      </w:pPr>
      <w:r>
        <w:rPr>
          <w:rFonts w:ascii="Times New Roman" w:cs="Times New Roman" w:eastAsia="Times New Roman" w:hAnsi="Times New Roman"/>
          <w:b/>
          <w:bCs/>
          <w:sz w:val="24"/>
          <w:szCs w:val="24"/>
        </w:rPr>
        <w:t xml:space="preserve">6.8 </w:t>
      </w:r>
      <w:r>
        <w:rPr>
          <w:rFonts w:ascii="Times New Roman" w:cs="Times New Roman" w:eastAsia="Times New Roman" w:hAnsi="Times New Roman"/>
          <w:sz w:val="24"/>
          <w:szCs w:val="24"/>
        </w:rPr>
        <w:t xml:space="preserve">Plazo para inscripción de declaratoria de fábrica e independización. EL VENDEDOR se compromete a obtener la inscripción de la declaratoria de fábrica, el Reglamento Interno y la independización de EL INMUEBLE en una partida registral autónoma dentro de los dos (2) meses contados desde la entrega, plazo prorrogable por las causas previstas en el numeral 6.3. La sola demora en este trámite no afectará la validez de la transferencia de propiedad ya producida.</w:t>
      </w:r>
    </w:p>
    <w:p>
      <w:pPr>
        <w:spacing w:after="200" w:before="320" w:line="360"/>
        <w:jc w:val="center"/>
      </w:pPr>
      <w:r>
        <w:rPr>
          <w:rFonts w:ascii="Times New Roman" w:cs="Times New Roman" w:eastAsia="Times New Roman" w:hAnsi="Times New Roman"/>
          <w:b/>
          <w:bCs/>
          <w:sz w:val="24"/>
          <w:szCs w:val="24"/>
        </w:rPr>
        <w:t xml:space="preserve">CLÁUSULA SÉPTIMA – CASO FORTUITO Y FUERZA MAYOR</w:t>
      </w:r>
    </w:p>
    <w:p>
      <w:pPr>
        <w:spacing w:after="200" w:line="360"/>
        <w:jc w:val="both"/>
      </w:pPr>
      <w:r>
        <w:rPr>
          <w:rFonts w:ascii="Times New Roman" w:cs="Times New Roman" w:eastAsia="Times New Roman" w:hAnsi="Times New Roman"/>
          <w:b/>
          <w:bCs/>
          <w:sz w:val="24"/>
          <w:szCs w:val="24"/>
        </w:rPr>
        <w:t xml:space="preserve">7.1 </w:t>
      </w:r>
      <w:r>
        <w:rPr>
          <w:rFonts w:ascii="Times New Roman" w:cs="Times New Roman" w:eastAsia="Times New Roman" w:hAnsi="Times New Roman"/>
          <w:sz w:val="24"/>
          <w:szCs w:val="24"/>
        </w:rPr>
        <w:t xml:space="preserve">Se entiende por caso fortuito o fuerza mayor todo evento extraordinario, imprevisible e irresistible que impida temporal o definitivamente el cumplimiento de las obligaciones de cualquiera de las partes, conforme al artículo 1315 del Código Civil. Enunciativa y no limitativamente: terremotos, inundaciones, conflictos sociales generalizados, pandemias, declaratorias de emergencia, paralizaciones de obra por mandato gubernamental, suspensión de servicios públicos, desabastecimiento general de materiales de construcción y demoras de autoridades administrativas.</w:t>
      </w:r>
    </w:p>
    <w:p>
      <w:pPr>
        <w:spacing w:after="200" w:line="360"/>
        <w:jc w:val="both"/>
      </w:pPr>
      <w:r>
        <w:rPr>
          <w:rFonts w:ascii="Times New Roman" w:cs="Times New Roman" w:eastAsia="Times New Roman" w:hAnsi="Times New Roman"/>
          <w:b/>
          <w:bCs/>
          <w:sz w:val="24"/>
          <w:szCs w:val="24"/>
        </w:rPr>
        <w:t xml:space="preserve">7.2 </w:t>
      </w:r>
      <w:r>
        <w:rPr>
          <w:rFonts w:ascii="Times New Roman" w:cs="Times New Roman" w:eastAsia="Times New Roman" w:hAnsi="Times New Roman"/>
          <w:sz w:val="24"/>
          <w:szCs w:val="24"/>
        </w:rPr>
        <w:t xml:space="preserve">Durante la subsistencia del caso fortuito o fuerza mayor, los plazos contractuales quedarán suspendidos. Si la situación se prolonga por más de seis (6) meses continuos, cualquiera de las partes podrá resolver el contrato sin pago de penalidad alguna, restituyéndose mutuamente las prestaciones recibidas conforme al artículo 1431 del Código Civil.</w:t>
      </w:r>
    </w:p>
    <w:p>
      <w:pPr>
        <w:spacing w:after="200" w:before="320" w:line="360"/>
        <w:jc w:val="center"/>
      </w:pPr>
      <w:r>
        <w:rPr>
          <w:rFonts w:ascii="Times New Roman" w:cs="Times New Roman" w:eastAsia="Times New Roman" w:hAnsi="Times New Roman"/>
          <w:b/>
          <w:bCs/>
          <w:sz w:val="24"/>
          <w:szCs w:val="24"/>
        </w:rPr>
        <w:t xml:space="preserve">CLÁUSULA OCTAVA – RESERVA DE PROPIEDAD Y CLÁUSULA RESOLUTORIA EXPRESA</w:t>
      </w:r>
    </w:p>
    <w:p>
      <w:pPr>
        <w:spacing w:after="200" w:line="360"/>
        <w:jc w:val="both"/>
      </w:pPr>
      <w:r>
        <w:rPr>
          <w:rFonts w:ascii="Times New Roman" w:cs="Times New Roman" w:eastAsia="Times New Roman" w:hAnsi="Times New Roman"/>
          <w:b/>
          <w:bCs/>
          <w:sz w:val="24"/>
          <w:szCs w:val="24"/>
        </w:rPr>
        <w:t xml:space="preserve">8.1 RESERVA DE PROPIEDAD. </w:t>
      </w:r>
      <w:r>
        <w:rPr>
          <w:rFonts w:ascii="Times New Roman" w:cs="Times New Roman" w:eastAsia="Times New Roman" w:hAnsi="Times New Roman"/>
          <w:sz w:val="24"/>
          <w:szCs w:val="24"/>
        </w:rPr>
        <w:t xml:space="preserve">EL VENDEDOR se reserva la propiedad de EL INMUEBLE hasta la cancelación íntegra del precio pactado en la cláusula cuarta, conforme al artículo 1583 del Código Civil.</w:t>
      </w:r>
    </w:p>
    <w:p>
      <w:pPr>
        <w:spacing w:after="200" w:line="360"/>
        <w:jc w:val="both"/>
      </w:pPr>
      <w:r>
        <w:rPr>
          <w:rFonts w:ascii="Times New Roman" w:cs="Times New Roman" w:eastAsia="Times New Roman" w:hAnsi="Times New Roman"/>
          <w:b/>
          <w:bCs/>
          <w:sz w:val="24"/>
          <w:szCs w:val="24"/>
        </w:rPr>
        <w:t xml:space="preserve">8.2 CLÁUSULA RESOLUTORIA EXPRESA. </w:t>
      </w:r>
      <w:r>
        <w:rPr>
          <w:rFonts w:ascii="Times New Roman" w:cs="Times New Roman" w:eastAsia="Times New Roman" w:hAnsi="Times New Roman"/>
          <w:sz w:val="24"/>
          <w:szCs w:val="24"/>
        </w:rPr>
        <w:t xml:space="preserve">Conforme al artículo 1430 del Código Civil, el presente contrato se resolverá de pleno derecho ante el incumplimiento de cualquiera de las siguientes obligaciones por parte de EL COMPRADOR, bastando para ello una comunicación cursada por carta notarial al domicilio físico o digital señalado:</w:t>
      </w:r>
    </w:p>
    <w:p>
      <w:pPr>
        <w:spacing w:after="16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Falta de pago del aporte a la firma o de cualquiera de los aportes de la cláusula cuarta luego de transcurrido el período de gracia previsto en la cláusula novena.</w:t>
      </w:r>
    </w:p>
    <w:p>
      <w:pPr>
        <w:spacing w:after="16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Falta de obtención o desembolso del crédito hipotecario en el plazo y forma previstos, por causas imputables a EL COMPRADOR.</w:t>
      </w:r>
    </w:p>
    <w:p>
      <w:pPr>
        <w:spacing w:after="16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Negativa injustificada a recibir EL INMUEBLE dentro del plazo convocado, salvo observación con sustento técnico conforme al numeral 6.5.</w:t>
      </w:r>
    </w:p>
    <w:p>
      <w:pPr>
        <w:spacing w:after="160" w:line="3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Negativa injustificada a suscribir la escritura pública o cualquier documento necesario para formalizar la transferencia.</w:t>
      </w:r>
    </w:p>
    <w:p>
      <w:pPr>
        <w:spacing w:after="160" w:line="3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Cesión de la posición contractual sin la autorización escrita de EL VENDEDOR (cláusula décimo tercera).</w:t>
      </w:r>
    </w:p>
    <w:p>
      <w:pPr>
        <w:spacing w:after="200" w:line="360"/>
        <w:jc w:val="both"/>
      </w:pPr>
      <w:r>
        <w:rPr>
          <w:rFonts w:ascii="Times New Roman" w:cs="Times New Roman" w:eastAsia="Times New Roman" w:hAnsi="Times New Roman"/>
          <w:b/>
          <w:bCs/>
          <w:sz w:val="24"/>
          <w:szCs w:val="24"/>
        </w:rPr>
        <w:t xml:space="preserve">8.3 EFECTOS DE LA RESOLUCIÓN. </w:t>
      </w:r>
      <w:r>
        <w:rPr>
          <w:rFonts w:ascii="Times New Roman" w:cs="Times New Roman" w:eastAsia="Times New Roman" w:hAnsi="Times New Roman"/>
          <w:sz w:val="24"/>
          <w:szCs w:val="24"/>
        </w:rPr>
        <w:t>Producida la resolución, EL VENDEDOR retendrá las arras confirmatorias a título de penalidad conforme a la cláusula novena, y devolverá el exceso, si lo hubiere, a la cuenta bancaria que EL COMPRADOR designe, dentro de los sesenta (60) días calendario siguientes. Esta devolución no estará sujeta a la reventa de EL INMUEBLE a un tercero.</w:t>
      </w:r>
    </w:p>
    <w:p>
      <w:pPr>
        <w:spacing w:after="200" w:before="320" w:line="360"/>
        <w:jc w:val="center"/>
      </w:pPr>
      <w:r>
        <w:rPr>
          <w:rFonts w:ascii="Times New Roman" w:cs="Times New Roman" w:eastAsia="Times New Roman" w:hAnsi="Times New Roman"/>
          <w:b/>
          <w:bCs/>
          <w:sz w:val="24"/>
          <w:szCs w:val="24"/>
        </w:rPr>
        <w:t>CLÁUSULA NOVENA – CLÁUSULA PENAL</w:t>
      </w:r>
    </w:p>
    <w:p>
      <w:pPr>
        <w:spacing w:after="200" w:line="360"/>
        <w:jc w:val="both"/>
      </w:pPr>
      <w:r>
        <w:rPr>
          <w:rFonts w:ascii="Times New Roman" w:cs="Times New Roman" w:eastAsia="Times New Roman" w:hAnsi="Times New Roman"/>
          <w:b/>
          <w:bCs/>
          <w:sz w:val="24"/>
          <w:szCs w:val="24"/>
        </w:rPr>
        <w:t xml:space="preserve">9.1 PERÍODO DE GRACIA. </w:t>
      </w:r>
      <w:r>
        <w:rPr>
          <w:rFonts w:ascii="Times New Roman" w:cs="Times New Roman" w:eastAsia="Times New Roman" w:hAnsi="Times New Roman"/>
          <w:sz w:val="24"/>
          <w:szCs w:val="24"/>
        </w:rPr>
        <w:t>Vencido un aporte o pago sin haberse efectuado, EL COMPRADOR contará con un período de gracia de quince (15) días calendario para regularizar el pago, sin penalidad ni interés. Vencido dicho período sin regularizarse el pago, EL VENDEDOR podrá, a su elección: (i) otorgar un plazo adicional para el pago; o (ii) resolver el contrato de pleno derecho conforme a la cláusula octava, aplicando la penalidad prevista en la presente cláusula.</w:t>
      </w:r>
    </w:p>
    <w:p>
      <w:pPr>
        <w:spacing w:after="200" w:line="360"/>
        <w:jc w:val="both"/>
      </w:pPr>
      <w:r>
        <w:rPr>
          <w:rFonts w:ascii="Times New Roman" w:cs="Times New Roman" w:eastAsia="Times New Roman" w:hAnsi="Times New Roman"/>
          <w:b/>
          <w:bCs/>
          <w:sz w:val="24"/>
          <w:szCs w:val="24"/>
        </w:rPr>
        <w:t xml:space="preserve">9.2 PENALIDAD COMPENSATORIA. </w:t>
      </w:r>
      <w:r>
        <w:rPr>
          <w:rFonts w:ascii="Times New Roman" w:cs="Times New Roman" w:eastAsia="Times New Roman" w:hAnsi="Times New Roman"/>
          <w:sz w:val="24"/>
          <w:szCs w:val="24"/>
        </w:rPr>
        <w:t>Producida la resolución del contrato conforme a la cláusula octava, por causa imputable a EL COMPRADOR (incluido el desistimiento unilateral), EL VENDEDOR retendrá, a título de cláusula penal compensatoria (artículo 1341 del Código Civil), una suma equivalente al ocho por ciento (8%) del precio total de venta, que las partes reconocen como una estimación anticipada y razonable de los daños, deducida de las sumas ya pagadas por EL COMPRADOR. Esta penalidad sustituye y libera del deber de probar daños mayores, salvo pacto en contrario o decisión arbitral.</w:t>
      </w:r>
    </w:p>
    <w:p>
      <w:pPr>
        <w:spacing w:after="200" w:line="360"/>
        <w:jc w:val="both"/>
      </w:pPr>
      <w:r>
        <w:rPr>
          <w:rFonts w:ascii="Times New Roman" w:cs="Times New Roman" w:eastAsia="Times New Roman" w:hAnsi="Times New Roman"/>
          <w:b/>
          <w:bCs/>
          <w:sz w:val="24"/>
          <w:szCs w:val="24"/>
        </w:rPr>
        <w:t xml:space="preserve">9.3 DEVOLUCIÓN DEL SALDO. </w:t>
      </w:r>
      <w:r>
        <w:rPr>
          <w:rFonts w:ascii="Times New Roman" w:cs="Times New Roman" w:eastAsia="Times New Roman" w:hAnsi="Times New Roman"/>
          <w:sz w:val="24"/>
          <w:szCs w:val="24"/>
        </w:rPr>
        <w:t>Aplicada la deducción de la penalidad, el saldo restante, si lo hubiere, será devuelto a EL COMPRADOR mediante depósito bancario en la cuenta que este designe, dentro de los sesenta (60) días calendario siguientes a la resolución del contrato. La devolución no estará condicionada a la reventa de EL INMUEBLE a un tercero ni a ninguna otra circunstancia ajena al COMPRADOR.</w:t>
      </w:r>
    </w:p>
    <w:p>
      <w:pPr>
        <w:spacing w:after="200" w:line="360"/>
        <w:jc w:val="both"/>
      </w:pPr>
      <w:r>
        <w:rPr>
          <w:rFonts w:ascii="Times New Roman" w:cs="Times New Roman" w:eastAsia="Times New Roman" w:hAnsi="Times New Roman"/>
          <w:b/>
          <w:bCs/>
          <w:sz w:val="24"/>
          <w:szCs w:val="24"/>
        </w:rPr>
        <w:t xml:space="preserve">9.4 PENALIDAD POR DESISTIMIENTO. </w:t>
      </w:r>
      <w:r>
        <w:rPr>
          <w:rFonts w:ascii="Times New Roman" w:cs="Times New Roman" w:eastAsia="Times New Roman" w:hAnsi="Times New Roman"/>
          <w:sz w:val="24"/>
          <w:szCs w:val="24"/>
        </w:rPr>
        <w:t xml:space="preserve">El desistimiento unilateral de EL COMPRADOR antes de la entrega producirá los mismos efectos que la resolución por incumplimiento, aplicándose íntegramente las disposiciones precedentes.</w:t>
      </w:r>
    </w:p>
    <w:p>
      <w:pPr>
        <w:spacing w:after="200" w:before="320" w:line="360"/>
        <w:jc w:val="center"/>
      </w:pPr>
      <w:r>
        <w:rPr>
          <w:rFonts w:ascii="Times New Roman" w:cs="Times New Roman" w:eastAsia="Times New Roman" w:hAnsi="Times New Roman"/>
          <w:b/>
          <w:bCs/>
          <w:sz w:val="24"/>
          <w:szCs w:val="24"/>
        </w:rPr>
        <w:t xml:space="preserve">CLÁUSULA DÉCIMA – OBLIGACIONES DEL VENDEDOR</w:t>
      </w:r>
    </w:p>
    <w:p>
      <w:pPr>
        <w:spacing w:after="200" w:line="360"/>
        <w:jc w:val="both"/>
      </w:pPr>
      <w:r>
        <w:rPr>
          <w:rFonts w:ascii="Times New Roman" w:cs="Times New Roman" w:eastAsia="Times New Roman" w:hAnsi="Times New Roman"/>
          <w:b/>
          <w:bCs/>
          <w:sz w:val="24"/>
          <w:szCs w:val="24"/>
        </w:rPr>
        <w:t xml:space="preserve">10.1 </w:t>
      </w:r>
      <w:r>
        <w:rPr>
          <w:rFonts w:ascii="Times New Roman" w:cs="Times New Roman" w:eastAsia="Times New Roman" w:hAnsi="Times New Roman"/>
          <w:sz w:val="24"/>
          <w:szCs w:val="24"/>
        </w:rPr>
        <w:t xml:space="preserve">EL VENDEDOR se obliga a:</w:t>
      </w:r>
    </w:p>
    <w:p>
      <w:pPr>
        <w:spacing w:after="16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Construir EL INMUEBLE conforme a la Ficha Técnica del Departamento que forma parte integrante del presente contrato como Anexo 1.</w:t>
      </w:r>
    </w:p>
    <w:p>
      <w:pPr>
        <w:spacing w:after="16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Tramitar a su cargo y costo la declaratoria de fábrica, el Reglamento Interno de Propiedad Exclusiva y Propiedad Común y la independización registral de EL INMUEBLE en una partida autónoma, dentro del plazo previsto en el numeral 6.8.</w:t>
      </w:r>
    </w:p>
    <w:p>
      <w:pPr>
        <w:spacing w:after="16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Entregar EL INMUEBLE a EL COMPRADOR libre de cargas, gravámenes, ocupantes precarios y deudas tributarias o de servicios devengadas hasta la fecha de entrega.</w:t>
      </w:r>
    </w:p>
    <w:p>
      <w:pPr>
        <w:spacing w:after="160" w:line="3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Suscribir la escritura pública de compraventa y todos los documentos necesarios para formalizar registralmente la transferencia a favor de EL COMPRADOR, una vez inscrita la independización.</w:t>
      </w:r>
    </w:p>
    <w:p>
      <w:pPr>
        <w:spacing w:after="160" w:line="3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Prestar el servicio de postventa conforme a la cláusula décimo cuarta.</w:t>
      </w:r>
    </w:p>
    <w:p>
      <w:pPr>
        <w:spacing w:after="200" w:before="320" w:line="360"/>
        <w:jc w:val="center"/>
      </w:pPr>
      <w:r>
        <w:rPr>
          <w:rFonts w:ascii="Times New Roman" w:cs="Times New Roman" w:eastAsia="Times New Roman" w:hAnsi="Times New Roman"/>
          <w:b/>
          <w:bCs/>
          <w:sz w:val="24"/>
          <w:szCs w:val="24"/>
        </w:rPr>
        <w:t xml:space="preserve">CLÁUSULA DÉCIMO PRIMERA – OBLIGACIONES DEL COMPRADOR</w:t>
      </w:r>
    </w:p>
    <w:p>
      <w:pPr>
        <w:spacing w:after="200" w:line="360"/>
        <w:jc w:val="both"/>
      </w:pPr>
      <w:r>
        <w:rPr>
          <w:rFonts w:ascii="Times New Roman" w:cs="Times New Roman" w:eastAsia="Times New Roman" w:hAnsi="Times New Roman"/>
          <w:b/>
          <w:bCs/>
          <w:sz w:val="24"/>
          <w:szCs w:val="24"/>
        </w:rPr>
        <w:t xml:space="preserve">11.1 </w:t>
      </w:r>
      <w:r>
        <w:rPr>
          <w:rFonts w:ascii="Times New Roman" w:cs="Times New Roman" w:eastAsia="Times New Roman" w:hAnsi="Times New Roman"/>
          <w:sz w:val="24"/>
          <w:szCs w:val="24"/>
        </w:rPr>
        <w:t xml:space="preserve">EL COMPRADOR se obliga a:</w:t>
      </w:r>
    </w:p>
    <w:p>
      <w:pPr>
        <w:spacing w:after="16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Pagar el precio total de venta en la oportunidad y forma pactadas en la cláusula cuarta.</w:t>
      </w:r>
    </w:p>
    <w:p>
      <w:pPr>
        <w:spacing w:after="16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Iniciar y gestionar diligentemente la aprobación del crédito hipotecario en los plazos pactados en la cláusula quinta, si optara por dicho financiamiento.</w:t>
      </w:r>
    </w:p>
    <w:p>
      <w:pPr>
        <w:spacing w:after="16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Recibir EL INMUEBLE en la fecha y procedimiento previstos en el numeral 6.5, salvo observación con sustento técnico.</w:t>
      </w:r>
    </w:p>
    <w:p>
      <w:pPr>
        <w:spacing w:after="160" w:line="3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Suscribir la escritura pública de compraventa y todos los documentos necesarios para la formalización e inscripción de la transferencia.</w:t>
      </w:r>
    </w:p>
    <w:p>
      <w:pPr>
        <w:spacing w:after="160" w:line="3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Asumir el pago del Impuesto de Alcabala (si corresponde) y los gastos notariales y registrales, conforme a la cláusula décimo sexta.</w:t>
      </w:r>
    </w:p>
    <w:p>
      <w:pPr>
        <w:spacing w:after="160" w:line="360"/>
        <w:ind w:left="720" w:hanging="360"/>
        <w:jc w:val="both"/>
      </w:pPr>
      <w:r>
        <w:rPr>
          <w:rFonts w:ascii="Times New Roman" w:cs="Times New Roman" w:eastAsia="Times New Roman" w:hAnsi="Times New Roman"/>
          <w:b/>
          <w:bCs/>
          <w:sz w:val="24"/>
          <w:szCs w:val="24"/>
        </w:rPr>
        <w:t xml:space="preserve">(f) </w:t>
      </w:r>
      <w:r>
        <w:rPr>
          <w:rFonts w:ascii="Times New Roman" w:cs="Times New Roman" w:eastAsia="Times New Roman" w:hAnsi="Times New Roman"/>
          <w:sz w:val="24"/>
          <w:szCs w:val="24"/>
        </w:rPr>
        <w:t xml:space="preserve">A partir de la entrega, asumir los gastos comunes en el porcentaje o proporción que establezca la Junta de Propietarios.</w:t>
      </w:r>
    </w:p>
    <w:p>
      <w:pPr>
        <w:spacing w:after="160" w:line="360"/>
        <w:ind w:left="720" w:hanging="360"/>
        <w:jc w:val="both"/>
      </w:pPr>
      <w:r>
        <w:rPr>
          <w:rFonts w:ascii="Times New Roman" w:cs="Times New Roman" w:eastAsia="Times New Roman" w:hAnsi="Times New Roman"/>
          <w:b/>
          <w:bCs/>
          <w:sz w:val="24"/>
          <w:szCs w:val="24"/>
        </w:rPr>
        <w:t xml:space="preserve">(g) </w:t>
      </w:r>
      <w:r>
        <w:rPr>
          <w:rFonts w:ascii="Times New Roman" w:cs="Times New Roman" w:eastAsia="Times New Roman" w:hAnsi="Times New Roman"/>
          <w:sz w:val="24"/>
          <w:szCs w:val="24"/>
        </w:rPr>
        <w:t xml:space="preserve">Cumplir y respetar el Reglamento Interno y los acuerdos de la Junta de Propietarios.</w:t>
      </w:r>
    </w:p>
    <w:p>
      <w:pPr>
        <w:spacing w:after="160" w:line="360"/>
        <w:ind w:left="720" w:hanging="360"/>
        <w:jc w:val="both"/>
      </w:pPr>
      <w:r>
        <w:rPr>
          <w:rFonts w:ascii="Times New Roman" w:cs="Times New Roman" w:eastAsia="Times New Roman" w:hAnsi="Times New Roman"/>
          <w:b/>
          <w:bCs/>
          <w:sz w:val="24"/>
          <w:szCs w:val="24"/>
        </w:rPr>
        <w:t xml:space="preserve">(h) </w:t>
      </w:r>
      <w:r>
        <w:rPr>
          <w:rFonts w:ascii="Times New Roman" w:cs="Times New Roman" w:eastAsia="Times New Roman" w:hAnsi="Times New Roman"/>
          <w:sz w:val="24"/>
          <w:szCs w:val="24"/>
        </w:rPr>
        <w:t xml:space="preserve">Destinar EL INMUEBLE únicamente a uso de vivienda, salvo autorización expresa.</w:t>
      </w:r>
    </w:p>
    <w:p>
      <w:pPr>
        <w:spacing w:after="160" w:line="360"/>
        <w:ind w:left="720" w:hanging="360"/>
        <w:jc w:val="both"/>
      </w:pPr>
      <w:r>
        <w:rPr>
          <w:rFonts w:ascii="Times New Roman" w:cs="Times New Roman" w:eastAsia="Times New Roman" w:hAnsi="Times New Roman"/>
          <w:b/>
          <w:bCs/>
          <w:sz w:val="24"/>
          <w:szCs w:val="24"/>
        </w:rPr>
        <w:t xml:space="preserve">(i) </w:t>
      </w:r>
      <w:r>
        <w:rPr>
          <w:rFonts w:ascii="Times New Roman" w:cs="Times New Roman" w:eastAsia="Times New Roman" w:hAnsi="Times New Roman"/>
          <w:sz w:val="24"/>
          <w:szCs w:val="24"/>
        </w:rPr>
        <w:t xml:space="preserve">Comunicar a la Municipalidad Distrital la transferencia y pagar el Impuesto Predial desde el año siguiente a la transferencia.</w:t>
      </w:r>
    </w:p>
    <w:p>
      <w:pPr>
        <w:spacing w:after="160" w:line="360"/>
        <w:ind w:left="720" w:hanging="360"/>
        <w:jc w:val="both"/>
      </w:pPr>
      <w:r>
        <w:rPr>
          <w:rFonts w:ascii="Times New Roman" w:cs="Times New Roman" w:eastAsia="Times New Roman" w:hAnsi="Times New Roman"/>
          <w:b/>
          <w:bCs/>
          <w:sz w:val="24"/>
          <w:szCs w:val="24"/>
        </w:rPr>
        <w:t xml:space="preserve">(j) </w:t>
      </w:r>
      <w:r>
        <w:rPr>
          <w:rFonts w:ascii="Times New Roman" w:cs="Times New Roman" w:eastAsia="Times New Roman" w:hAnsi="Times New Roman"/>
          <w:sz w:val="24"/>
          <w:szCs w:val="24"/>
        </w:rPr>
        <w:t xml:space="preserve">No ceder su posición contractual sin la autorización escrita de EL VENDEDOR conforme a la cláusula décimo tercera.</w:t>
      </w:r>
    </w:p>
    <w:p>
      <w:pPr>
        <w:spacing w:after="200" w:before="320" w:line="360"/>
        <w:jc w:val="center"/>
      </w:pPr>
      <w:r>
        <w:rPr>
          <w:rFonts w:ascii="Times New Roman" w:cs="Times New Roman" w:eastAsia="Times New Roman" w:hAnsi="Times New Roman"/>
          <w:b/>
          <w:bCs/>
          <w:sz w:val="24"/>
          <w:szCs w:val="24"/>
        </w:rPr>
        <w:t xml:space="preserve">CLÁUSULA DÉCIMO SEGUNDA – MODIFICACIONES DEL PROYECTO</w:t>
      </w:r>
    </w:p>
    <w:p>
      <w:pPr>
        <w:spacing w:after="200" w:line="360"/>
        <w:jc w:val="both"/>
      </w:pPr>
      <w:r>
        <w:rPr>
          <w:rFonts w:ascii="Times New Roman" w:cs="Times New Roman" w:eastAsia="Times New Roman" w:hAnsi="Times New Roman"/>
          <w:b/>
          <w:bCs/>
          <w:sz w:val="24"/>
          <w:szCs w:val="24"/>
        </w:rPr>
        <w:t xml:space="preserve">12.1 </w:t>
      </w:r>
      <w:r>
        <w:rPr>
          <w:rFonts w:ascii="Times New Roman" w:cs="Times New Roman" w:eastAsia="Times New Roman" w:hAnsi="Times New Roman"/>
          <w:sz w:val="24"/>
          <w:szCs w:val="24"/>
        </w:rPr>
        <w:t xml:space="preserve">EL VENDEDOR se reserva el derecho a efectuar modificaciones menores en EL PROYECTO o en EL INMUEBLE durante el proceso constructivo, siempre que: (i) no alteren la sustancia ni el destino del inmueble; (ii) no disminuyan la calidad de los acabados (los reemplazos serán de calidad igual o superior); y (iii) se deban a ajustes arquitectónicos, técnicos o por exigencia de la autoridad municipal o de servicios públicos.</w:t>
      </w:r>
    </w:p>
    <w:p>
      <w:pPr>
        <w:spacing w:after="200" w:line="360"/>
        <w:jc w:val="both"/>
      </w:pPr>
      <w:r>
        <w:rPr>
          <w:rFonts w:ascii="Times New Roman" w:cs="Times New Roman" w:eastAsia="Times New Roman" w:hAnsi="Times New Roman"/>
          <w:b/>
          <w:bCs/>
          <w:sz w:val="24"/>
          <w:szCs w:val="24"/>
        </w:rPr>
        <w:t xml:space="preserve">12.2 </w:t>
      </w:r>
      <w:r>
        <w:rPr>
          <w:rFonts w:ascii="Times New Roman" w:cs="Times New Roman" w:eastAsia="Times New Roman" w:hAnsi="Times New Roman"/>
          <w:sz w:val="24"/>
          <w:szCs w:val="24"/>
        </w:rPr>
        <w:t>EL VENDEDOR comunicará a EL COMPRADOR cualquier modificación relevante por correo electrónico al domicilio digital señalado en la introducción.</w:t>
      </w:r>
    </w:p>
    <w:p>
      <w:pPr>
        <w:spacing w:after="200" w:line="360"/>
        <w:jc w:val="both"/>
      </w:pPr>
      <w:r>
        <w:rPr>
          <w:rFonts w:ascii="Times New Roman" w:cs="Times New Roman" w:eastAsia="Times New Roman" w:hAnsi="Times New Roman"/>
          <w:b/>
          <w:bCs/>
          <w:sz w:val="24"/>
          <w:szCs w:val="24"/>
        </w:rPr>
        <w:t xml:space="preserve">12.3 </w:t>
      </w:r>
      <w:r>
        <w:rPr>
          <w:rFonts w:ascii="Times New Roman" w:cs="Times New Roman" w:eastAsia="Times New Roman" w:hAnsi="Times New Roman"/>
          <w:sz w:val="24"/>
          <w:szCs w:val="24"/>
        </w:rPr>
        <w:t xml:space="preserve">EL COMPRADOR no podrá solicitar modificaciones al diseño, distribución, estructuras, instalaciones o acabados de EL INMUEBLE una vez iniciada la construcción, salvo aprobación expresa y escrita de EL VENDEDOR, previa cotización y pago anticipado del costo correspondiente.</w:t>
      </w:r>
    </w:p>
    <w:p>
      <w:pPr>
        <w:spacing w:after="200" w:before="320" w:line="360"/>
        <w:jc w:val="center"/>
      </w:pPr>
      <w:r>
        <w:rPr>
          <w:rFonts w:ascii="Times New Roman" w:cs="Times New Roman" w:eastAsia="Times New Roman" w:hAnsi="Times New Roman"/>
          <w:b/>
          <w:bCs/>
          <w:sz w:val="24"/>
          <w:szCs w:val="24"/>
        </w:rPr>
        <w:t xml:space="preserve">CLÁUSULA DÉCIMO TERCERA – CESIÓN DE POSICIÓN CONTRACTUAL</w:t>
      </w:r>
    </w:p>
    <w:p>
      <w:pPr>
        <w:spacing w:after="200" w:line="360"/>
        <w:jc w:val="both"/>
      </w:pPr>
      <w:r>
        <w:rPr>
          <w:rFonts w:ascii="Times New Roman" w:cs="Times New Roman" w:eastAsia="Times New Roman" w:hAnsi="Times New Roman"/>
          <w:b/>
          <w:bCs/>
          <w:sz w:val="24"/>
          <w:szCs w:val="24"/>
        </w:rPr>
        <w:t xml:space="preserve">13.1 </w:t>
      </w:r>
      <w:r>
        <w:rPr>
          <w:rFonts w:ascii="Times New Roman" w:cs="Times New Roman" w:eastAsia="Times New Roman" w:hAnsi="Times New Roman"/>
          <w:sz w:val="24"/>
          <w:szCs w:val="24"/>
        </w:rPr>
        <w:t xml:space="preserve">EL COMPRADOR no podrá ceder su posición contractual, en todo o en parte, sin la autorización previa, expresa y por escrito de EL VENDEDOR, conforme al artículo 1435 del Código Civil.</w:t>
      </w:r>
    </w:p>
    <w:p>
      <w:pPr>
        <w:spacing w:after="200" w:line="360"/>
        <w:jc w:val="both"/>
      </w:pPr>
      <w:r>
        <w:rPr>
          <w:rFonts w:ascii="Times New Roman" w:cs="Times New Roman" w:eastAsia="Times New Roman" w:hAnsi="Times New Roman"/>
          <w:b/>
          <w:bCs/>
          <w:sz w:val="24"/>
          <w:szCs w:val="24"/>
        </w:rPr>
        <w:t xml:space="preserve">13.2 </w:t>
      </w:r>
      <w:r>
        <w:rPr>
          <w:rFonts w:ascii="Times New Roman" w:cs="Times New Roman" w:eastAsia="Times New Roman" w:hAnsi="Times New Roman"/>
          <w:sz w:val="24"/>
          <w:szCs w:val="24"/>
        </w:rPr>
        <w:t xml:space="preserve">Para autorizar la cesión, EL VENDEDOR podrá: (i) evaluar la solvencia y antecedentes del cesionario; y (ii) requerir documentación de identidad, ingresos y origen de fondos del cesionario.</w:t>
      </w:r>
    </w:p>
    <w:p>
      <w:pPr>
        <w:spacing w:after="200" w:line="360"/>
        <w:jc w:val="both"/>
      </w:pPr>
      <w:r>
        <w:rPr>
          <w:rFonts w:ascii="Times New Roman" w:cs="Times New Roman" w:eastAsia="Times New Roman" w:hAnsi="Times New Roman"/>
          <w:b/>
          <w:bCs/>
          <w:sz w:val="24"/>
          <w:szCs w:val="24"/>
        </w:rPr>
        <w:t xml:space="preserve">13.3 </w:t>
      </w:r>
      <w:r>
        <w:rPr>
          <w:rFonts w:ascii="Times New Roman" w:cs="Times New Roman" w:eastAsia="Times New Roman" w:hAnsi="Times New Roman"/>
          <w:sz w:val="24"/>
          <w:szCs w:val="24"/>
        </w:rPr>
        <w:t xml:space="preserve">La cesión sin autorización constituye causal de resolución de pleno derecho conforme a la cláusula octava, con aplicación de la penalidad de la cláusula novena.</w:t>
      </w:r>
    </w:p>
    <w:p>
      <w:pPr>
        <w:spacing w:after="200" w:before="320" w:line="360"/>
        <w:jc w:val="center"/>
      </w:pPr>
      <w:r>
        <w:rPr>
          <w:rFonts w:ascii="Times New Roman" w:cs="Times New Roman" w:eastAsia="Times New Roman" w:hAnsi="Times New Roman"/>
          <w:b/>
          <w:bCs/>
          <w:sz w:val="24"/>
          <w:szCs w:val="24"/>
        </w:rPr>
        <w:t xml:space="preserve">CLÁUSULA DÉCIMO CUARTA – SANEAMIENTO Y POSTVENTA</w:t>
      </w:r>
    </w:p>
    <w:p>
      <w:pPr>
        <w:spacing w:after="200" w:line="360"/>
        <w:jc w:val="both"/>
      </w:pPr>
      <w:r>
        <w:rPr>
          <w:rFonts w:ascii="Times New Roman" w:cs="Times New Roman" w:eastAsia="Times New Roman" w:hAnsi="Times New Roman"/>
          <w:b/>
          <w:bCs/>
          <w:sz w:val="24"/>
          <w:szCs w:val="24"/>
        </w:rPr>
        <w:t xml:space="preserve">14.1 SANEAMIENTO. </w:t>
      </w:r>
      <w:r>
        <w:rPr>
          <w:rFonts w:ascii="Times New Roman" w:cs="Times New Roman" w:eastAsia="Times New Roman" w:hAnsi="Times New Roman"/>
          <w:sz w:val="24"/>
          <w:szCs w:val="24"/>
        </w:rPr>
        <w:t xml:space="preserve">EL VENDEDOR responde por el saneamiento por evicción (artículo 1491 del Código Civil) y por vicios ocultos (artículo 1503 del Código Civil), bajo los términos y plazos legales.</w:t>
      </w:r>
    </w:p>
    <w:p>
      <w:pPr>
        <w:spacing w:after="200" w:line="360"/>
        <w:jc w:val="both"/>
      </w:pPr>
      <w:r>
        <w:rPr>
          <w:rFonts w:ascii="Times New Roman" w:cs="Times New Roman" w:eastAsia="Times New Roman" w:hAnsi="Times New Roman"/>
          <w:b/>
          <w:bCs/>
          <w:sz w:val="24"/>
          <w:szCs w:val="24"/>
        </w:rPr>
        <w:t xml:space="preserve">14.2 GARANTÍA ESTRUCTURAL. </w:t>
      </w:r>
      <w:r>
        <w:rPr>
          <w:rFonts w:ascii="Times New Roman" w:cs="Times New Roman" w:eastAsia="Times New Roman" w:hAnsi="Times New Roman"/>
          <w:sz w:val="24"/>
          <w:szCs w:val="24"/>
        </w:rPr>
        <w:t>EL VENDEDOR responde, por el plazo de cinco (5) años contados desde la entrega, por la destrucción total o parcial de la edificación, por su evidente peligro de ruina y por los graves defectos que provengan de vicios de la construcción, conforme al artículo 1784 del Código Civil, salvo que el daño se deba a hechos imputables a EL COMPRADOR. La presente garantía no cubre los daños ocasionados por caso fortuito o fuerza mayor —entre ellos sismos, inundaciones u otros eventos de la naturaleza de carácter extraordinario—, salvo que el daño se origine o agrave por vicios o defectos de la construcción imputables a EL VENDEDOR.</w:t>
      </w:r>
    </w:p>
    <w:p>
      <w:pPr>
        <w:spacing w:after="200" w:line="360"/>
        <w:jc w:val="both"/>
      </w:pPr>
      <w:r>
        <w:rPr>
          <w:rFonts w:ascii="Times New Roman" w:cs="Times New Roman" w:eastAsia="Times New Roman" w:hAnsi="Times New Roman"/>
          <w:b/>
          <w:bCs/>
          <w:sz w:val="24"/>
          <w:szCs w:val="24"/>
        </w:rPr>
        <w:t xml:space="preserve">14.3 GARANTÍA DE ACABADOS. </w:t>
      </w:r>
      <w:r>
        <w:rPr>
          <w:rFonts w:ascii="Times New Roman" w:cs="Times New Roman" w:eastAsia="Times New Roman" w:hAnsi="Times New Roman"/>
          <w:sz w:val="24"/>
          <w:szCs w:val="24"/>
        </w:rPr>
        <w:t xml:space="preserve">EL VENDEDOR garantiza los acabados de EL INMUEBLE por el plazo de doce (12) meses contados desde la entrega. Durante este plazo, EL COMPRADOR podrá reportar observaciones técnicamente sustentadas y EL VENDEDOR contará con un plazo de treinta (30) días calendario para subsanarlas.</w:t>
      </w:r>
    </w:p>
    <w:p>
      <w:pPr>
        <w:spacing w:after="200" w:line="360"/>
        <w:jc w:val="both"/>
      </w:pPr>
      <w:r>
        <w:rPr>
          <w:rFonts w:ascii="Times New Roman" w:cs="Times New Roman" w:eastAsia="Times New Roman" w:hAnsi="Times New Roman"/>
          <w:b/>
          <w:bCs/>
          <w:sz w:val="24"/>
          <w:szCs w:val="24"/>
        </w:rPr>
        <w:t xml:space="preserve">14.4 EXCLUSIONES. </w:t>
      </w:r>
      <w:r>
        <w:rPr>
          <w:rFonts w:ascii="Times New Roman" w:cs="Times New Roman" w:eastAsia="Times New Roman" w:hAnsi="Times New Roman"/>
          <w:sz w:val="24"/>
          <w:szCs w:val="24"/>
        </w:rPr>
        <w:t xml:space="preserve">La garantía no cubre: (i) desgaste natural por uso; (ii) modificaciones efectuadas por EL COMPRADOR sin autorización; (iii) daños por mal uso, negligencia o falta de mantenimiento; (iv) daños por instalación de muebles, electrodomésticos o terceros contratados por EL COMPRADOR; (v) daños por humedad atribuible a uso inadecuado.</w:t>
      </w:r>
    </w:p>
    <w:p>
      <w:pPr>
        <w:spacing w:after="200" w:before="320" w:line="360"/>
        <w:jc w:val="center"/>
      </w:pPr>
      <w:r>
        <w:rPr>
          <w:rFonts w:ascii="Times New Roman" w:cs="Times New Roman" w:eastAsia="Times New Roman" w:hAnsi="Times New Roman"/>
          <w:b/>
          <w:bCs/>
          <w:sz w:val="24"/>
          <w:szCs w:val="24"/>
        </w:rPr>
        <w:t xml:space="preserve">CLÁUSULA DÉCIMO QUINTA – REGLAMENTO INTERNO, JUNTA DE PROPIETARIOS Y GASTOS COMUNES</w:t>
      </w:r>
    </w:p>
    <w:p>
      <w:pPr>
        <w:spacing w:after="200" w:line="360"/>
        <w:jc w:val="both"/>
      </w:pPr>
      <w:r>
        <w:rPr>
          <w:rFonts w:ascii="Times New Roman" w:cs="Times New Roman" w:eastAsia="Times New Roman" w:hAnsi="Times New Roman"/>
          <w:b/>
          <w:bCs/>
          <w:sz w:val="24"/>
          <w:szCs w:val="24"/>
        </w:rPr>
        <w:t xml:space="preserve">15.1 </w:t>
      </w:r>
      <w:r>
        <w:rPr>
          <w:rFonts w:ascii="Times New Roman" w:cs="Times New Roman" w:eastAsia="Times New Roman" w:hAnsi="Times New Roman"/>
          <w:sz w:val="24"/>
          <w:szCs w:val="24"/>
        </w:rPr>
        <w:t xml:space="preserve">EL EDIFICIO se sujeta al régimen de Propiedad Exclusiva y Propiedad Común. EL VENDEDOR elaborará e inscribirá el Reglamento Interno conjuntamente con la declaratoria de fábrica y la independización.</w:t>
      </w:r>
    </w:p>
    <w:p>
      <w:pPr>
        <w:spacing w:after="200" w:line="360"/>
        <w:jc w:val="both"/>
      </w:pPr>
      <w:r>
        <w:rPr>
          <w:rFonts w:ascii="Times New Roman" w:cs="Times New Roman" w:eastAsia="Times New Roman" w:hAnsi="Times New Roman"/>
          <w:b/>
          <w:bCs/>
          <w:sz w:val="24"/>
          <w:szCs w:val="24"/>
        </w:rPr>
        <w:t xml:space="preserve">15.2 </w:t>
      </w:r>
      <w:r>
        <w:rPr>
          <w:rFonts w:ascii="Times New Roman" w:cs="Times New Roman" w:eastAsia="Times New Roman" w:hAnsi="Times New Roman"/>
          <w:sz w:val="24"/>
          <w:szCs w:val="24"/>
        </w:rPr>
        <w:t xml:space="preserve">Desde la fecha de entrega, EL COMPRADOR pasa a formar parte de la Junta de Propietarios de EL EDIFICIO, suscribirá el acta correspondiente y asumirá la obligación de pago de los gastos comunes en el porcentaje o proporción que establezca la Junta de Propietarios.</w:t>
      </w:r>
    </w:p>
    <w:p>
      <w:pPr>
        <w:spacing w:after="200" w:line="360"/>
        <w:jc w:val="both"/>
      </w:pPr>
      <w:r>
        <w:rPr>
          <w:rFonts w:ascii="Times New Roman" w:cs="Times New Roman" w:eastAsia="Times New Roman" w:hAnsi="Times New Roman"/>
          <w:b/>
          <w:bCs/>
          <w:sz w:val="24"/>
          <w:szCs w:val="24"/>
        </w:rPr>
        <w:t xml:space="preserve">15.3 </w:t>
      </w:r>
      <w:r>
        <w:rPr>
          <w:rFonts w:ascii="Times New Roman" w:cs="Times New Roman" w:eastAsia="Times New Roman" w:hAnsi="Times New Roman"/>
          <w:sz w:val="24"/>
          <w:szCs w:val="24"/>
        </w:rPr>
        <w:t xml:space="preserve">Hasta la conformación formal de la Junta de Propietarios, EL VENDEDOR podrá designar a un administrador provisional para la gestión de los servicios comunes, debiendo rendir cuentas a los propietarios.</w:t>
      </w:r>
    </w:p>
    <w:p>
      <w:pPr>
        <w:spacing w:after="200" w:line="360"/>
        <w:jc w:val="both"/>
      </w:pPr>
      <w:r>
        <w:rPr>
          <w:rFonts w:ascii="Times New Roman" w:cs="Times New Roman" w:eastAsia="Times New Roman" w:hAnsi="Times New Roman"/>
          <w:b/>
          <w:bCs/>
          <w:sz w:val="24"/>
          <w:szCs w:val="24"/>
        </w:rPr>
        <w:t xml:space="preserve">15.4 </w:t>
      </w:r>
      <w:r>
        <w:rPr>
          <w:rFonts w:ascii="Times New Roman" w:cs="Times New Roman" w:eastAsia="Times New Roman" w:hAnsi="Times New Roman"/>
          <w:sz w:val="24"/>
          <w:szCs w:val="24"/>
        </w:rPr>
        <w:t xml:space="preserve">Los gastos comunes incluyen, enunciativamente: mantenimiento de áreas comunes, ascensores, vigilancia, agua común, energía eléctrica común, conservación de fachadas, contribuciones a fondos de reserva y administración.</w:t>
      </w:r>
    </w:p>
    <w:p>
      <w:pPr>
        <w:spacing w:after="200" w:before="320" w:line="360"/>
        <w:jc w:val="center"/>
      </w:pPr>
      <w:r>
        <w:rPr>
          <w:rFonts w:ascii="Times New Roman" w:cs="Times New Roman" w:eastAsia="Times New Roman" w:hAnsi="Times New Roman"/>
          <w:b/>
          <w:bCs/>
          <w:sz w:val="24"/>
          <w:szCs w:val="24"/>
        </w:rPr>
        <w:t xml:space="preserve">CLÁUSULA DÉCIMO SEXTA – GASTOS, TRIBUTOS, IGV Y ALCABALA</w:t>
      </w:r>
    </w:p>
    <w:p>
      <w:pPr>
        <w:spacing w:after="200" w:line="360"/>
        <w:jc w:val="both"/>
      </w:pPr>
      <w:r>
        <w:rPr>
          <w:rFonts w:ascii="Times New Roman" w:cs="Times New Roman" w:eastAsia="Times New Roman" w:hAnsi="Times New Roman"/>
          <w:b/>
          <w:bCs/>
          <w:sz w:val="24"/>
          <w:szCs w:val="24"/>
        </w:rPr>
        <w:t xml:space="preserve">16.1 </w:t>
      </w:r>
      <w:r>
        <w:rPr>
          <w:rFonts w:ascii="Times New Roman" w:cs="Times New Roman" w:eastAsia="Times New Roman" w:hAnsi="Times New Roman"/>
          <w:sz w:val="24"/>
          <w:szCs w:val="24"/>
        </w:rPr>
        <w:t xml:space="preserve">DE CARGO DE EL VENDEDOR:</w:t>
      </w:r>
    </w:p>
    <w:p>
      <w:pPr>
        <w:spacing w:after="16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Impuesto a la Renta sobre la utilidad de la venta, conforme al régimen tributario aplicable a EL VENDEDOR.</w:t>
      </w:r>
    </w:p>
    <w:p>
      <w:pPr>
        <w:spacing w:after="16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Impuesto General a las Ventas (IGV) aplicable a la primera venta de inmuebles por constructor habitual, ya incluido en el precio conforme al numeral 4.1.</w:t>
      </w:r>
    </w:p>
    <w:p>
      <w:pPr>
        <w:spacing w:after="16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Costos y gastos de la declaratoria de fábrica, Reglamento Interno e independización registral.</w:t>
      </w:r>
    </w:p>
    <w:p>
      <w:pPr>
        <w:spacing w:after="160" w:line="3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Tributos municipales y deudas tributarias sobre EL PREDIO MATRIZ y EL INMUEBLE devengados hasta la fecha de entrega.</w:t>
      </w:r>
    </w:p>
    <w:p>
      <w:pPr>
        <w:spacing w:after="200" w:line="360"/>
        <w:jc w:val="both"/>
      </w:pPr>
      <w:r>
        <w:rPr>
          <w:rFonts w:ascii="Times New Roman" w:cs="Times New Roman" w:eastAsia="Times New Roman" w:hAnsi="Times New Roman"/>
          <w:b/>
          <w:bCs/>
          <w:sz w:val="24"/>
          <w:szCs w:val="24"/>
        </w:rPr>
        <w:t xml:space="preserve">16.2 </w:t>
      </w:r>
      <w:r>
        <w:rPr>
          <w:rFonts w:ascii="Times New Roman" w:cs="Times New Roman" w:eastAsia="Times New Roman" w:hAnsi="Times New Roman"/>
          <w:sz w:val="24"/>
          <w:szCs w:val="24"/>
        </w:rPr>
        <w:t xml:space="preserve">DE CARGO DE EL COMPRADOR:</w:t>
      </w:r>
    </w:p>
    <w:p>
      <w:pPr>
        <w:spacing w:after="160" w:line="360"/>
        <w:ind w:left="720" w:hanging="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Impuesto de Alcabala, si corresponde, conforme a las normas del D. Leg. 776 (Tributación Municipal), a pagarse hasta el último día hábil del mes siguiente a la transferencia.</w:t>
      </w:r>
    </w:p>
    <w:p>
      <w:pPr>
        <w:spacing w:after="160" w:line="360"/>
        <w:ind w:left="720" w:hanging="36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Impuesto Predial y arbitrios municipales del año siguiente a la transferencia.</w:t>
      </w:r>
    </w:p>
    <w:p>
      <w:pPr>
        <w:spacing w:after="160" w:line="360"/>
        <w:ind w:left="720" w:hanging="360"/>
        <w:jc w:val="both"/>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Gastos notariales y registrales de la escritura pública de compraventa y su inscripción.</w:t>
      </w:r>
    </w:p>
    <w:p>
      <w:pPr>
        <w:spacing w:after="160" w:line="360"/>
        <w:ind w:left="720" w:hanging="360"/>
        <w:jc w:val="both"/>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Comunicación a la Municipalidad de la transferencia, conforme al artículo 14 inciso b) del D. Leg. 776.</w:t>
      </w:r>
    </w:p>
    <w:p>
      <w:pPr>
        <w:spacing w:after="160" w:line="360"/>
        <w:ind w:left="720" w:hanging="360"/>
        <w:jc w:val="both"/>
      </w:pPr>
      <w:r>
        <w:rPr>
          <w:rFonts w:ascii="Times New Roman" w:cs="Times New Roman" w:eastAsia="Times New Roman" w:hAnsi="Times New Roman"/>
          <w:b/>
          <w:bCs/>
          <w:sz w:val="24"/>
          <w:szCs w:val="24"/>
        </w:rPr>
        <w:t xml:space="preserve">(e) </w:t>
      </w:r>
      <w:r>
        <w:rPr>
          <w:rFonts w:ascii="Times New Roman" w:cs="Times New Roman" w:eastAsia="Times New Roman" w:hAnsi="Times New Roman"/>
          <w:sz w:val="24"/>
          <w:szCs w:val="24"/>
        </w:rPr>
        <w:t xml:space="preserve">Gastos del crédito hipotecario, si optara por él (tasación, comisiones, hipoteca a favor del banco, etc.).</w:t>
      </w:r>
    </w:p>
    <w:p>
      <w:pPr>
        <w:spacing w:after="200" w:line="360"/>
        <w:jc w:val="both"/>
      </w:pPr>
      <w:r>
        <w:rPr>
          <w:rFonts w:ascii="Times New Roman" w:cs="Times New Roman" w:eastAsia="Times New Roman" w:hAnsi="Times New Roman"/>
          <w:b/>
          <w:bCs/>
          <w:sz w:val="24"/>
          <w:szCs w:val="24"/>
        </w:rPr>
        <w:t xml:space="preserve">16.3 </w:t>
      </w:r>
      <w:r>
        <w:rPr>
          <w:rFonts w:ascii="Times New Roman" w:cs="Times New Roman" w:eastAsia="Times New Roman" w:hAnsi="Times New Roman"/>
          <w:sz w:val="24"/>
          <w:szCs w:val="24"/>
        </w:rPr>
        <w:t xml:space="preserve">Cada parte asume los tributos y gastos que la ley les atribuye, sin que el presente contrato pueda interpretarse como traslado de tributos legalmente asignados al otro.</w:t>
      </w:r>
    </w:p>
    <w:p>
      <w:pPr>
        <w:spacing w:after="200" w:before="320" w:line="360"/>
        <w:jc w:val="center"/>
      </w:pPr>
      <w:r>
        <w:rPr>
          <w:rFonts w:ascii="Times New Roman" w:cs="Times New Roman" w:eastAsia="Times New Roman" w:hAnsi="Times New Roman"/>
          <w:b/>
          <w:bCs/>
          <w:sz w:val="24"/>
          <w:szCs w:val="24"/>
        </w:rPr>
        <w:t xml:space="preserve">CLÁUSULA DÉCIMO SÉPTIMA – DOMICILIO FÍSICO, DOMICILIO DIGITAL Y NOTIFICACIONES</w:t>
      </w:r>
    </w:p>
    <w:p>
      <w:pPr>
        <w:spacing w:after="200" w:line="360"/>
        <w:jc w:val="both"/>
      </w:pPr>
      <w:r>
        <w:rPr>
          <w:rFonts w:ascii="Times New Roman" w:cs="Times New Roman" w:eastAsia="Times New Roman" w:hAnsi="Times New Roman"/>
          <w:b/>
          <w:bCs/>
          <w:sz w:val="24"/>
          <w:szCs w:val="24"/>
        </w:rPr>
        <w:t xml:space="preserve">17.1 </w:t>
      </w:r>
      <w:r>
        <w:rPr>
          <w:rFonts w:ascii="Times New Roman" w:cs="Times New Roman" w:eastAsia="Times New Roman" w:hAnsi="Times New Roman"/>
          <w:sz w:val="24"/>
          <w:szCs w:val="24"/>
        </w:rPr>
        <w:t xml:space="preserve">Las partes señalan como sus domicilios los indicados en la introducción del presente contrato, en los cuales serán válidas todas las comunicaciones y notificaciones derivadas de la ejecución del contrato.</w:t>
      </w:r>
    </w:p>
    <w:p>
      <w:pPr>
        <w:spacing w:after="200" w:line="360"/>
        <w:jc w:val="both"/>
      </w:pPr>
      <w:r>
        <w:rPr>
          <w:rFonts w:ascii="Times New Roman" w:cs="Times New Roman" w:eastAsia="Times New Roman" w:hAnsi="Times New Roman"/>
          <w:b/>
          <w:bCs/>
          <w:sz w:val="24"/>
          <w:szCs w:val="24"/>
        </w:rPr>
        <w:t xml:space="preserve">17.2 DOMICILIO DIGITAL. </w:t>
      </w:r>
      <w:r>
        <w:rPr>
          <w:rFonts w:ascii="Times New Roman" w:cs="Times New Roman" w:eastAsia="Times New Roman" w:hAnsi="Times New Roman"/>
          <w:sz w:val="24"/>
          <w:szCs w:val="24"/>
        </w:rPr>
        <w:t>Las partes señalan adicionalmente las direcciones de correo electrónico consignadas en la introducción como su domicilio digital válido para todas las comunicaciones del presente contrato. Las comunicaciones por correo electrónico se reputarán recibidas al cierre del primer día hábil siguiente a su envío, salvo prueba de no recepción.</w:t>
      </w:r>
    </w:p>
    <w:p>
      <w:pPr>
        <w:spacing w:after="200" w:line="360"/>
        <w:jc w:val="both"/>
      </w:pPr>
      <w:r>
        <w:rPr>
          <w:rFonts w:ascii="Times New Roman" w:cs="Times New Roman" w:eastAsia="Times New Roman" w:hAnsi="Times New Roman"/>
          <w:b/>
          <w:bCs/>
          <w:sz w:val="24"/>
          <w:szCs w:val="24"/>
        </w:rPr>
        <w:t xml:space="preserve">17.3 </w:t>
      </w:r>
      <w:r>
        <w:rPr>
          <w:rFonts w:ascii="Times New Roman" w:cs="Times New Roman" w:eastAsia="Times New Roman" w:hAnsi="Times New Roman"/>
          <w:sz w:val="24"/>
          <w:szCs w:val="24"/>
        </w:rPr>
        <w:t>Cualquier cambio de domicilio físico o digital deberá ser comunicado a la otra parte por carta notarial o correo electrónico, con anticipación no menor a diez (10) días hábiles. En su defecto, las comunicaciones cursadas a los domicilios señalados se reputarán válidas.</w:t>
      </w:r>
    </w:p>
    <w:p>
      <w:pPr>
        <w:spacing w:after="200" w:before="320" w:line="360"/>
        <w:jc w:val="center"/>
      </w:pPr>
      <w:r>
        <w:rPr>
          <w:rFonts w:ascii="Times New Roman" w:cs="Times New Roman" w:eastAsia="Times New Roman" w:hAnsi="Times New Roman"/>
          <w:b/>
          <w:bCs/>
          <w:sz w:val="24"/>
          <w:szCs w:val="24"/>
        </w:rPr>
        <w:t xml:space="preserve">CLÁUSULA DÉCIMO OCTAVA – CONCILIACIÓN Y ARBITRAJE</w:t>
      </w:r>
    </w:p>
    <w:p>
      <w:pPr>
        <w:spacing w:after="200" w:line="360"/>
        <w:jc w:val="both"/>
      </w:pPr>
      <w:r>
        <w:rPr>
          <w:rFonts w:ascii="Times New Roman" w:cs="Times New Roman" w:eastAsia="Times New Roman" w:hAnsi="Times New Roman"/>
          <w:b/>
          <w:bCs/>
          <w:sz w:val="24"/>
          <w:szCs w:val="24"/>
        </w:rPr>
        <w:t xml:space="preserve">18.1 CONCILIACIÓN PREVIA. </w:t>
      </w:r>
      <w:r>
        <w:rPr>
          <w:rFonts w:ascii="Times New Roman" w:cs="Times New Roman" w:eastAsia="Times New Roman" w:hAnsi="Times New Roman"/>
          <w:sz w:val="24"/>
          <w:szCs w:val="24"/>
        </w:rPr>
        <w:t xml:space="preserve">Toda controversia derivada del presente contrato será sometida previamente a una etapa de conciliación entre las partes por un plazo de treinta (30) días calendario, contados desde la comunicación de la parte que invoca la controversia al domicilio físico o digital señalado en el presente contrato.</w:t>
      </w:r>
    </w:p>
    <w:p>
      <w:pPr>
        <w:spacing w:after="200" w:line="360"/>
        <w:jc w:val="both"/>
      </w:pPr>
      <w:r>
        <w:rPr>
          <w:rFonts w:ascii="Times New Roman" w:cs="Times New Roman" w:eastAsia="Times New Roman" w:hAnsi="Times New Roman"/>
          <w:b/>
          <w:bCs/>
          <w:sz w:val="24"/>
          <w:szCs w:val="24"/>
        </w:rPr>
        <w:t xml:space="preserve">18.2 ARBITRAJE. </w:t>
      </w:r>
      <w:r>
        <w:rPr>
          <w:rFonts w:ascii="Times New Roman" w:cs="Times New Roman" w:eastAsia="Times New Roman" w:hAnsi="Times New Roman"/>
          <w:sz w:val="24"/>
          <w:szCs w:val="24"/>
        </w:rPr>
        <w:t xml:space="preserve">Si no se llega a acuerdo dentro del plazo señalado, la controversia será resuelta mediante arbitraje de derecho conforme al Decreto Legislativo N° 1071 (Ley de Arbitraje), administrado por el Centro de Arbitraje de la Cámara de Comercio de Lima conforme a su reglamento vigente, con un (1) árbitro único, en la ciudad de Lima y en idioma castellano. El laudo será definitivo y de obligatorio cumplimiento, sin perjuicio del recurso de anulación previsto en el artículo 63 del Decreto Legislativo N° 1071, cuyas causales legales no renunciables se reconocen por imperio de la ley.</w:t>
      </w:r>
    </w:p>
    <w:p>
      <w:pPr>
        <w:spacing w:after="200" w:line="360"/>
        <w:jc w:val="both"/>
      </w:pPr>
      <w:r>
        <w:rPr>
          <w:rFonts w:ascii="Times New Roman" w:cs="Times New Roman" w:eastAsia="Times New Roman" w:hAnsi="Times New Roman"/>
          <w:b/>
          <w:bCs/>
          <w:sz w:val="24"/>
          <w:szCs w:val="24"/>
        </w:rPr>
        <w:t xml:space="preserve">18.3 EXCEPCIÓN. </w:t>
      </w:r>
      <w:r>
        <w:rPr>
          <w:rFonts w:ascii="Times New Roman" w:cs="Times New Roman" w:eastAsia="Times New Roman" w:hAnsi="Times New Roman"/>
          <w:sz w:val="24"/>
          <w:szCs w:val="24"/>
        </w:rPr>
        <w:t xml:space="preserve">Sin perjuicio del arbitraje, EL VENDEDOR podrá recurrir al Poder Judicial para la ejecución de títulos valores o de obligaciones líquidas, exigibles y de plazo vencido contenidas en el presente contrato, así como para procesos de desalojo, cobranza, ejecución de garantías y medidas cautelares.</w:t>
      </w:r>
    </w:p>
    <w:p>
      <w:pPr>
        <w:spacing w:after="200" w:line="360"/>
        <w:jc w:val="both"/>
      </w:pPr>
      <w:r>
        <w:rPr>
          <w:rFonts w:ascii="Times New Roman" w:cs="Times New Roman" w:eastAsia="Times New Roman" w:hAnsi="Times New Roman"/>
          <w:b/>
          <w:bCs/>
          <w:sz w:val="24"/>
          <w:szCs w:val="24"/>
        </w:rPr>
        <w:t xml:space="preserve">18.4 COSTOS. </w:t>
      </w:r>
      <w:r>
        <w:rPr>
          <w:rFonts w:ascii="Times New Roman" w:cs="Times New Roman" w:eastAsia="Times New Roman" w:hAnsi="Times New Roman"/>
          <w:sz w:val="24"/>
          <w:szCs w:val="24"/>
        </w:rPr>
        <w:t xml:space="preserve">Los costos y honorarios del arbitraje serán íntegramente de cargo de la parte que interponga la demanda arbitral.</w:t>
      </w:r>
    </w:p>
    <w:p>
      <w:pPr>
        <w:spacing w:after="200" w:before="320" w:line="360"/>
        <w:jc w:val="center"/>
      </w:pPr>
      <w:r>
        <w:rPr>
          <w:rFonts w:ascii="Times New Roman" w:cs="Times New Roman" w:eastAsia="Times New Roman" w:hAnsi="Times New Roman"/>
          <w:b/>
          <w:bCs/>
          <w:sz w:val="24"/>
          <w:szCs w:val="24"/>
        </w:rPr>
        <w:t xml:space="preserve">CLÁUSULA DÉCIMO NOVENA – RENUNCIA AL DERECHO DE RETRACTO Y A LA RESCISIÓN POR LESIÓN</w:t>
      </w:r>
    </w:p>
    <w:p>
      <w:pPr>
        <w:spacing w:after="200" w:line="360"/>
        <w:jc w:val="both"/>
      </w:pPr>
      <w:r>
        <w:rPr>
          <w:rFonts w:ascii="Times New Roman" w:cs="Times New Roman" w:eastAsia="Times New Roman" w:hAnsi="Times New Roman"/>
          <w:b/>
          <w:bCs/>
          <w:sz w:val="24"/>
          <w:szCs w:val="24"/>
        </w:rPr>
        <w:t xml:space="preserve">19.1 </w:t>
      </w:r>
      <w:r>
        <w:rPr>
          <w:rFonts w:ascii="Times New Roman" w:cs="Times New Roman" w:eastAsia="Times New Roman" w:hAnsi="Times New Roman"/>
          <w:sz w:val="24"/>
          <w:szCs w:val="24"/>
        </w:rPr>
        <w:t xml:space="preserve">Las partes declaran que ningún tercero tiene derecho de retracto sobre la presente transferencia conforme al artículo 1599 del Código Civil. EL VENDEDOR y EL COMPRADOR renuncian recíprocamente a invocar el derecho de retracto contra cualquier transferencia posterior derivada del presente contrato.</w:t>
      </w:r>
    </w:p>
    <w:p>
      <w:pPr>
        <w:spacing w:after="200" w:line="360"/>
        <w:jc w:val="both"/>
      </w:pPr>
      <w:r>
        <w:rPr>
          <w:rFonts w:ascii="Times New Roman" w:cs="Times New Roman" w:eastAsia="Times New Roman" w:hAnsi="Times New Roman"/>
          <w:b/>
          <w:bCs/>
          <w:sz w:val="24"/>
          <w:szCs w:val="24"/>
        </w:rPr>
        <w:t xml:space="preserve">19.2 </w:t>
      </w:r>
      <w:r>
        <w:rPr>
          <w:rFonts w:ascii="Times New Roman" w:cs="Times New Roman" w:eastAsia="Times New Roman" w:hAnsi="Times New Roman"/>
          <w:sz w:val="24"/>
          <w:szCs w:val="24"/>
        </w:rPr>
        <w:t xml:space="preserve">EL COMPRADOR declara haber tenido acceso a información suficiente sobre el valor de mercado de inmuebles comparables y declara su conformidad expresa con el precio pactado. Las partes renuncian a la acción rescisoria por lesión (artículo 1447 del Código Civil), con las únicas limitaciones de los artículos 1448 y 1454, que se reconocen por imperio de la ley.</w:t>
      </w:r>
    </w:p>
    <w:p>
      <w:pPr>
        <w:spacing w:after="200" w:before="320" w:line="360"/>
        <w:jc w:val="center"/>
      </w:pPr>
      <w:r>
        <w:rPr>
          <w:rFonts w:ascii="Times New Roman" w:cs="Times New Roman" w:eastAsia="Times New Roman" w:hAnsi="Times New Roman"/>
          <w:b/>
          <w:bCs/>
          <w:sz w:val="24"/>
          <w:szCs w:val="24"/>
        </w:rPr>
        <w:t xml:space="preserve">CLÁUSULA VIGÉSIMA – LEY APLICABLE</w:t>
      </w:r>
    </w:p>
    <w:p>
      <w:pPr>
        <w:spacing w:after="200" w:line="360"/>
        <w:jc w:val="both"/>
      </w:pPr>
      <w:r>
        <w:rPr>
          <w:rFonts w:ascii="Times New Roman" w:cs="Times New Roman" w:eastAsia="Times New Roman" w:hAnsi="Times New Roman"/>
          <w:b/>
          <w:bCs/>
          <w:sz w:val="24"/>
          <w:szCs w:val="24"/>
        </w:rPr>
        <w:t xml:space="preserve">20.1 </w:t>
      </w:r>
      <w:r>
        <w:rPr>
          <w:rFonts w:ascii="Times New Roman" w:cs="Times New Roman" w:eastAsia="Times New Roman" w:hAnsi="Times New Roman"/>
          <w:sz w:val="24"/>
          <w:szCs w:val="24"/>
        </w:rPr>
        <w:t xml:space="preserve">El presente contrato se rige por las leyes de la República del Perú. En lo no previsto expresamente, las partes se someten a las disposiciones del Código Civil, la Ley N° 29571 (Código del Consumidor) cuando corresponda, el TUO de la Ley N° 28194 (Bancarización), el TUO de la Ley del IGV, el D. Leg. 776 (Tributación Municipal) y demás normas concordantes y complementarias del sistema jurídico peruano.</w:t>
      </w:r>
    </w:p>
    <w:p>
      <w:pPr>
        <w:spacing w:after="200" w:before="320" w:line="360"/>
        <w:jc w:val="center"/>
      </w:pPr>
      <w:r>
        <w:rPr>
          <w:rFonts w:ascii="Times New Roman" w:cs="Times New Roman" w:eastAsia="Times New Roman" w:hAnsi="Times New Roman"/>
          <w:b/>
          <w:bCs/>
          <w:sz w:val="24"/>
          <w:szCs w:val="24"/>
        </w:rPr>
        <w:t xml:space="preserve">CLÁUSULA VIGÉSIMO PRIMERA – DECLARACIÓN DE VOLUNTAD Y FACULTADES</w:t>
      </w:r>
    </w:p>
    <w:p>
      <w:pPr>
        <w:spacing w:after="200" w:line="360"/>
        <w:jc w:val="both"/>
      </w:pPr>
      <w:r>
        <w:rPr>
          <w:rFonts w:ascii="Times New Roman" w:cs="Times New Roman" w:eastAsia="Times New Roman" w:hAnsi="Times New Roman"/>
          <w:b/>
          <w:bCs/>
          <w:sz w:val="24"/>
          <w:szCs w:val="24"/>
        </w:rPr>
        <w:t xml:space="preserve">21.1 </w:t>
      </w:r>
      <w:r>
        <w:rPr>
          <w:rFonts w:ascii="Times New Roman" w:cs="Times New Roman" w:eastAsia="Times New Roman" w:hAnsi="Times New Roman"/>
          <w:sz w:val="24"/>
          <w:szCs w:val="24"/>
        </w:rPr>
        <w:t xml:space="preserve">Los otorgantes declaran que el presente contrato lo otorgan en pleno uso de sus facultades, siendo su voluntad libre, sin coacción, dolo, error ni violencia, habiendo expresado consciente y deliberadamente cada una de las cláusulas que lo conforman.</w:t>
      </w:r>
    </w:p>
    <w:p>
      <w:pPr>
        <w:spacing w:after="200" w:line="360"/>
        <w:jc w:val="both"/>
      </w:pPr>
      <w:r>
        <w:rPr>
          <w:rFonts w:ascii="Times New Roman" w:cs="Times New Roman" w:eastAsia="Times New Roman" w:hAnsi="Times New Roman"/>
          <w:b/>
          <w:bCs/>
          <w:sz w:val="24"/>
          <w:szCs w:val="24"/>
        </w:rPr>
        <w:t xml:space="preserve">21.2 </w:t>
      </w:r>
      <w:r>
        <w:rPr>
          <w:rFonts w:ascii="Times New Roman" w:cs="Times New Roman" w:eastAsia="Times New Roman" w:hAnsi="Times New Roman"/>
          <w:sz w:val="24"/>
          <w:szCs w:val="24"/>
        </w:rPr>
        <w:t xml:space="preserve">Las partes declaran haber leído íntegramente el contrato y sus anexos, comprender su contenido y aceptar todas sus disposiciones.</w:t>
      </w:r>
    </w:p>
    <w:p>
      <w:pPr>
        <w:spacing w:after="200" w:line="360"/>
        <w:jc w:val="both"/>
      </w:pPr>
      <w:r>
        <w:rPr>
          <w:rFonts w:ascii="Times New Roman" w:cs="Times New Roman" w:eastAsia="Times New Roman" w:hAnsi="Times New Roman"/>
          <w:b/>
          <w:bCs/>
          <w:sz w:val="24"/>
          <w:szCs w:val="24"/>
        </w:rPr>
        <w:t xml:space="preserve">21.3 </w:t>
      </w:r>
      <w:r>
        <w:rPr>
          <w:rFonts w:ascii="Times New Roman" w:cs="Times New Roman" w:eastAsia="Times New Roman" w:hAnsi="Times New Roman"/>
          <w:sz w:val="24"/>
          <w:szCs w:val="24"/>
        </w:rPr>
        <w:t xml:space="preserve">La invalidez o ineficacia de cualquier cláusula no afectará la validez del resto del contrato, que conservará pleno vigor.</w:t>
      </w:r>
    </w:p>
    <w:p>
      <w:pPr>
        <w:spacing w:after="200" w:before="320" w:line="360"/>
        <w:jc w:val="center"/>
      </w:pPr>
      <w:r>
        <w:rPr>
          <w:rFonts w:ascii="Times New Roman" w:cs="Times New Roman" w:eastAsia="Times New Roman" w:hAnsi="Times New Roman"/>
          <w:b/>
          <w:bCs/>
          <w:sz w:val="24"/>
          <w:szCs w:val="24"/>
        </w:rPr>
        <w:t xml:space="preserve">CLÁUSULA VIGÉSIMO SEGUNDA – ANEXOS INTEGRANTES</w:t>
      </w:r>
    </w:p>
    <w:p>
      <w:pPr>
        <w:spacing w:after="200" w:line="360"/>
        <w:jc w:val="both"/>
      </w:pPr>
      <w:r>
        <w:rPr>
          <w:rFonts w:ascii="Times New Roman" w:cs="Times New Roman" w:eastAsia="Times New Roman" w:hAnsi="Times New Roman"/>
          <w:b/>
          <w:bCs/>
          <w:sz w:val="24"/>
          <w:szCs w:val="24"/>
        </w:rPr>
        <w:t xml:space="preserve">22.1 </w:t>
      </w:r>
      <w:r>
        <w:rPr>
          <w:rFonts w:ascii="Times New Roman" w:cs="Times New Roman" w:eastAsia="Times New Roman" w:hAnsi="Times New Roman"/>
          <w:sz w:val="24"/>
          <w:szCs w:val="24"/>
        </w:rPr>
        <w:t>Forman parte integrante e inseparable del presente contrato el siguiente anexo, que se adjunta al mismo:</w:t>
      </w:r>
    </w:p>
    <w:p>
      <w:pPr>
        <w:spacing w:after="160" w:line="3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Ficha Técnica del Departamento (incluye plano de distribución y cuadro de acabados).</w:t>
      </w:r>
    </w:p>
    <w:p>
      <w:pPr>
        <w:spacing w:after="200" w:before="320" w:line="360"/>
        <w:jc w:val="center"/>
      </w:pPr>
      <w:r>
        <w:rPr>
          <w:rFonts w:ascii="Times New Roman" w:cs="Times New Roman" w:eastAsia="Times New Roman" w:hAnsi="Times New Roman"/>
          <w:b/>
          <w:bCs/>
          <w:sz w:val="24"/>
          <w:szCs w:val="24"/>
        </w:rPr>
        <w:t xml:space="preserve">CIERRE Y FIRMAS</w:t>
      </w:r>
    </w:p>
    <w:p>
      <w:pPr>
        <w:spacing w:after="200" w:line="360"/>
        <w:jc w:val="both"/>
      </w:pPr>
      <w:r>
        <w:rPr>
          <w:rFonts w:ascii="Times New Roman" w:cs="Times New Roman" w:eastAsia="Times New Roman" w:hAnsi="Times New Roman"/>
          <w:b w:val="false"/>
          <w:bCs w:val="false"/>
          <w:i w:val="false"/>
          <w:iCs w:val="false"/>
          <w:sz w:val="24"/>
          <w:szCs w:val="24"/>
        </w:rPr>
        <w:t>Suscrito en la ciudad de Lima, a los 01 días del mes de septiembre del año 2026, en dos ejemplares originales de igual valor, uno para cada parte, adjuntándose los anexos referidos en la cláusula vigésimo segunda.</w:t>
      </w:r>
    </w:p>
    <w:p/>
    <w:p/>
    <w:p/>
    <w:tbl>
      <w:tblPr>
        <w:tblW w:type="auto" w:w="0"/>
        <w:jc w:val="center"/>
        <w:tblBorders>
          <w:top w:val="none"/>
          <w:left w:val="none"/>
          <w:bottom w:val="none"/>
          <w:right w:val="none"/>
          <w:insideH w:val="none"/>
          <w:insideV w:val="none"/>
        </w:tblBorders>
        <w:tblLayout w:type="fixed"/>
        <w:tblLook w:firstColumn="1" w:firstRow="1" w:lastColumn="0" w:lastRow="0" w:noHBand="0" w:noVBand="1" w:val="04A0"/>
      </w:tblPr>
      <w:tblGrid>
        <w:gridCol w:w="4420"/>
        <w:gridCol w:w="4420"/>
      </w:tblGrid>
      <w:tr>
        <w:tc>
          <w:tcPr>
            <w:tcW w:type="dxa" w:w="4464"/>
          </w:tcPr>
          <w:p>
            <w:pPr>
              <w:jc w:val="center"/>
            </w:pPr>
            <w:r>
              <w:rPr>
                <w:sz w:val="22"/>
              </w:rPr>
              <w:t>_________________________________</w:t>
            </w:r>
          </w:p>
        </w:tc>
        <w:tc>
          <w:tcPr>
            <w:tcW w:type="dxa" w:w="4464"/>
          </w:tcPr>
          <w:p>
            <w:pPr>
              <w:jc w:val="center"/>
            </w:pPr>
            <w:r>
              <w:rPr>
                <w:sz w:val="22"/>
              </w:rPr>
              <w:t>_________________________________</w:t>
            </w:r>
          </w:p>
        </w:tc>
      </w:tr>
      <w:tr>
        <w:tc>
          <w:tcPr>
            <w:tcW w:type="dxa" w:w="4464"/>
          </w:tcPr>
          <w:p>
            <w:pPr>
              <w:jc w:val="center"/>
            </w:pPr>
            <w:r>
              <w:rPr>
                <w:b/>
                <w:sz w:val="22"/>
              </w:rPr>
              <w:t>LA HAUS CONSTRUCTORA S.A.C.</w:t>
            </w:r>
          </w:p>
        </w:tc>
        <w:tc>
          <w:tcPr>
            <w:tcW w:type="dxa" w:w="4464"/>
          </w:tcPr>
          <w:p>
            <w:pPr>
              <w:jc w:val="center"/>
            </w:pPr>
            <w:r>
              <w:rPr>
                <w:b/>
                <w:sz w:val="22"/>
              </w:rPr>
              <w:t>YADIRA LISSET CABALLERO NOEL</w:t>
            </w:r>
          </w:p>
        </w:tc>
      </w:tr>
      <w:tr>
        <w:tc>
          <w:tcPr>
            <w:tcW w:type="dxa" w:w="4464"/>
          </w:tcPr>
          <w:p>
            <w:pPr>
              <w:jc w:val="center"/>
            </w:pPr>
            <w:r>
              <w:rPr>
                <w:sz w:val="22"/>
              </w:rPr>
              <w:t>RUC 20611277211</w:t>
            </w:r>
          </w:p>
        </w:tc>
        <w:tc>
          <w:tcPr>
            <w:tcW w:type="dxa" w:w="4464"/>
          </w:tcPr>
          <w:p>
            <w:pPr>
              <w:jc w:val="center"/>
            </w:pPr>
            <w:r>
              <w:rPr>
                <w:sz w:val="22"/>
              </w:rPr>
              <w:t>DNI 44578531</w:t>
            </w:r>
          </w:p>
        </w:tc>
      </w:tr>
      <w:tr>
        <w:tc>
          <w:tcPr>
            <w:tcW w:type="dxa" w:w="4464"/>
          </w:tcPr>
          <w:p>
            <w:pPr>
              <w:jc w:val="center"/>
            </w:pPr>
            <w:r>
              <w:rPr>
                <w:sz w:val="22"/>
              </w:rPr>
              <w:t>Representada por Paul Steven Acosta Arce</w:t>
            </w:r>
          </w:p>
        </w:tc>
        <w:tc>
          <w:tcPr>
            <w:tcW w:type="dxa" w:w="4464"/>
          </w:tcPr>
          <w:p>
            <w:pPr>
              <w:jc w:val="center"/>
            </w:pPr>
            <w:r>
              <w:rPr>
                <w:sz w:val="22"/>
              </w:rPr>
              <w:t>(huella digital)</w:t>
            </w:r>
          </w:p>
        </w:tc>
      </w:tr>
      <w:tr>
        <w:tc>
          <w:tcPr>
            <w:tcW w:type="dxa" w:w="4464"/>
          </w:tcPr>
          <w:p>
            <w:pPr>
              <w:jc w:val="center"/>
            </w:pPr>
            <w:r>
              <w:rPr>
                <w:sz w:val="22"/>
              </w:rPr>
              <w:t>Gerente General – DNI 43654939</w:t>
            </w:r>
          </w:p>
        </w:tc>
        <w:tc>
          <w:tcPr>
            <w:tcW w:type="dxa" w:w="4464"/>
          </w:tcPr>
          <w:p>
            <w:pPr>
              <w:jc w:val="center"/>
            </w:pPr>
            <w:r>
              <w:rPr>
                <w:sz w:val="22"/>
              </w:rPr>
            </w:r>
          </w:p>
        </w:tc>
      </w:tr>
    </w:tbl>
    <w:sectPr>
      <w:footerReference w:type="default" r:id="rId7"/>
      <w:pgSz w:w="12240" w:h="15840"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06060"/>
        <w:sz w:val="18"/>
        <w:szCs w:val="18"/>
      </w:rPr>
      <w:t xml:space="preserve">Página </w:t>
    </w:r>
    <w:r>
      <w:rPr>
        <w:rFonts w:ascii="Times New Roman" w:cs="Times New Roman" w:eastAsia="Times New Roman" w:hAnsi="Times New Roman"/>
        <w:color w:val="606060"/>
        <w:sz w:val="18"/>
        <w:szCs w:val="18"/>
      </w:rPr>
      <w:fldChar w:fldCharType="begin"/>
      <w:instrText xml:space="preserve">PAGE</w:instrText>
      <w:fldChar w:fldCharType="separate"/>
      <w:fldChar w:fldCharType="end"/>
    </w:r>
    <w:r>
      <w:rPr>
        <w:rFonts w:ascii="Times New Roman" w:cs="Times New Roman" w:eastAsia="Times New Roman" w:hAnsi="Times New Roman"/>
        <w:color w:val="606060"/>
        <w:sz w:val="18"/>
        <w:szCs w:val="18"/>
      </w:rPr>
      <w:t xml:space="preserve"> de </w:t>
    </w:r>
    <w:r>
      <w:rPr>
        <w:rFonts w:ascii="Times New Roman" w:cs="Times New Roman" w:eastAsia="Times New Roman" w:hAnsi="Times New Roman"/>
        <w:color w:val="60606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Compraventa de Bien Futuro - LA HAUS CONSTRUCTORA SAC</dc:title>
  <dc:creator>Cowork</dc:creator>
  <dc:description>Contrato definitivo Depto 503</dc:description>
  <cp:lastModifiedBy>Un-named</cp:lastModifiedBy>
  <cp:revision>1</cp:revision>
  <dcterms:created xsi:type="dcterms:W3CDTF">2026-05-28T01:18:33.453Z</dcterms:created>
  <dcterms:modified xsi:type="dcterms:W3CDTF">2026-05-28T01:18:33.454Z</dcterms:modified>
</cp:coreProperties>
</file>

<file path=docProps/custom.xml><?xml version="1.0" encoding="utf-8"?>
<Properties xmlns="http://schemas.openxmlformats.org/officeDocument/2006/custom-properties" xmlns:vt="http://schemas.openxmlformats.org/officeDocument/2006/docPropsVTypes"/>
</file>