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line="276" w:lineRule="auto"/>
        <w:jc w:val="center"/>
      </w:pPr>
      <w:r>
        <w:rPr>
          <w:rFonts w:ascii="Arial" w:hAnsi="Arial" w:cs="Arial" w:eastAsia="Arial"/>
          <w:b/>
          <w:i w:val="0"/>
          <w:color w:val="1C1C1C"/>
          <w:sz w:val="30"/>
        </w:rPr>
        <w:t>CONTRATO DE SEPARACIÓN</w:t>
      </w:r>
    </w:p>
    <w:p>
      <w:pPr>
        <w:spacing w:after="160" w:before="0" w:line="276" w:lineRule="auto"/>
        <w:jc w:val="center"/>
      </w:pPr>
      <w:r>
        <w:rPr>
          <w:rFonts w:ascii="Arial" w:hAnsi="Arial" w:cs="Arial" w:eastAsia="Arial"/>
          <w:b/>
          <w:i w:val="0"/>
          <w:color w:val="E46C2C"/>
          <w:sz w:val="22"/>
        </w:rPr>
        <w:t>Proyecto Inmobiliario VIVA PRO</w:t>
      </w:r>
    </w:p>
    <w:p>
      <w:pPr>
        <w:pBdr>
          <w:bottom w:val="single" w:sz="8" w:space="4" w:color="E46C2C"/>
        </w:pBdr>
        <w:spacing w:before="80" w:after="80"/>
      </w:pPr>
    </w:p>
    <w:p>
      <w:pPr>
        <w:spacing w:after="80" w:before="200" w:line="276" w:lineRule="auto"/>
        <w:jc w:val="left"/>
      </w:pPr>
      <w:r>
        <w:rPr>
          <w:rFonts w:ascii="Arial" w:hAnsi="Arial" w:cs="Arial" w:eastAsia="Arial"/>
          <w:b/>
          <w:i w:val="0"/>
          <w:color w:val="1C1C1C"/>
          <w:sz w:val="24"/>
        </w:rPr>
        <w:t>Datos del Contrato</w:t>
      </w:r>
    </w:p>
    <w:tbl>
      <w:tblPr>
        <w:tblW w:type="auto" w:w="0"/>
        <w:jc w:val="center"/>
        <w:tblLayout w:type="fixed"/>
        <w:tblLook w:firstColumn="1" w:firstRow="1" w:lastColumn="0" w:lastRow="0" w:noHBand="0" w:noVBand="1" w:val="04A0"/>
      </w:tblPr>
      <w:tblGrid>
        <w:gridCol w:w="4536"/>
        <w:gridCol w:w="4536"/>
      </w:tblGrid>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Ciudad y fecha</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Lima, 11 de junio de 2026</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Nº de separación</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SEP-VP-203-2026-001</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Unidad reservada</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Departamento Nº 203 – Piso 2 – Tipología 3D-A</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Vigencia de la reserva</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quince (15) días calendario</w:t>
            </w:r>
          </w:p>
        </w:tc>
      </w:tr>
    </w:tbl>
    <w:p>
      <w:pPr>
        <w:spacing w:after="120" w:before="0" w:line="276" w:lineRule="auto"/>
        <w:jc w:val="left"/>
      </w:pPr>
      <w:r>
        <w:rPr>
          <w:rFonts w:ascii="Arial" w:hAnsi="Arial" w:cs="Arial" w:eastAsia="Arial"/>
          <w:b w:val="0"/>
          <w:i w:val="0"/>
          <w:sz w:val="12"/>
        </w:rPr>
      </w:r>
    </w:p>
    <w:p>
      <w:pPr>
        <w:spacing w:after="80" w:before="200" w:line="276" w:lineRule="auto"/>
        <w:jc w:val="left"/>
      </w:pPr>
      <w:r>
        <w:rPr>
          <w:rFonts w:ascii="Arial" w:hAnsi="Arial" w:cs="Arial" w:eastAsia="Arial"/>
          <w:b/>
          <w:i w:val="0"/>
          <w:color w:val="1C1C1C"/>
          <w:sz w:val="24"/>
        </w:rPr>
        <w:t>Las Partes</w:t>
      </w:r>
    </w:p>
    <w:p>
      <w:pPr>
        <w:spacing w:after="120" w:before="0" w:line="276" w:lineRule="auto"/>
        <w:jc w:val="left"/>
      </w:pPr>
      <w:r>
        <w:rPr>
          <w:rFonts w:ascii="Arial" w:hAnsi="Arial" w:cs="Arial" w:eastAsia="Arial"/>
          <w:b w:val="0"/>
          <w:i w:val="0"/>
          <w:sz w:val="22"/>
        </w:rPr>
        <w:t>Conste por el presente documento el Contrato de Separación que celebran:</w:t>
      </w:r>
    </w:p>
    <w:p>
      <w:pPr>
        <w:spacing w:after="60" w:before="120" w:line="276" w:lineRule="auto"/>
        <w:jc w:val="left"/>
      </w:pPr>
      <w:r>
        <w:rPr>
          <w:rFonts w:ascii="Arial" w:hAnsi="Arial" w:cs="Arial" w:eastAsia="Arial"/>
          <w:b/>
          <w:i w:val="0"/>
          <w:color w:val="E46C2C"/>
          <w:sz w:val="22"/>
        </w:rPr>
        <w:t>El Vendedor:</w:t>
      </w:r>
    </w:p>
    <w:tbl>
      <w:tblPr>
        <w:tblW w:type="auto" w:w="0"/>
        <w:jc w:val="center"/>
        <w:tblLayout w:type="fixed"/>
        <w:tblLook w:firstColumn="1" w:firstRow="1" w:lastColumn="0" w:lastRow="0" w:noHBand="0" w:noVBand="1" w:val="04A0"/>
      </w:tblPr>
      <w:tblGrid>
        <w:gridCol w:w="4536"/>
        <w:gridCol w:w="4536"/>
      </w:tblGrid>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Razón social</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LA HAUS CONSTRUCTORA S.A.C.</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RUC</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20611277211</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Domicilio fiscal</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Mz. X, Lote 31-A, Cooperativa COOPIP, distrito de San Martín de Porres, Lima</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Representante legal</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Paul Steven Acosta Arce – Gerente General</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DNI del representante</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43654939</w:t>
            </w:r>
          </w:p>
        </w:tc>
      </w:tr>
    </w:tbl>
    <w:p>
      <w:pPr>
        <w:spacing w:after="120" w:before="0" w:line="276" w:lineRule="auto"/>
        <w:jc w:val="left"/>
      </w:pPr>
      <w:r>
        <w:rPr>
          <w:rFonts w:ascii="Arial" w:hAnsi="Arial" w:cs="Arial" w:eastAsia="Arial"/>
          <w:b w:val="0"/>
          <w:i w:val="0"/>
          <w:sz w:val="12"/>
        </w:rPr>
      </w:r>
    </w:p>
    <w:p>
      <w:pPr>
        <w:spacing w:after="60" w:before="120" w:line="276" w:lineRule="auto"/>
        <w:jc w:val="left"/>
      </w:pPr>
      <w:r>
        <w:rPr>
          <w:rFonts w:ascii="Arial" w:hAnsi="Arial" w:cs="Arial" w:eastAsia="Arial"/>
          <w:b/>
          <w:i w:val="0"/>
          <w:color w:val="E46C2C"/>
          <w:sz w:val="22"/>
        </w:rPr>
        <w:t>El Cliente:</w:t>
      </w:r>
    </w:p>
    <w:tbl>
      <w:tblPr>
        <w:tblW w:type="auto" w:w="0"/>
        <w:jc w:val="center"/>
        <w:tblLayout w:type="fixed"/>
        <w:tblLook w:firstColumn="1" w:firstRow="1" w:lastColumn="0" w:lastRow="0" w:noHBand="0" w:noVBand="1" w:val="04A0"/>
      </w:tblPr>
      <w:tblGrid>
        <w:gridCol w:w="4536"/>
        <w:gridCol w:w="4536"/>
      </w:tblGrid>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Nombres y apellidos</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YADIRA LISSET CABALLERO NOEL</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DNI / CE</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44578531</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Estado civil</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Soltera</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Cónyuge (si aplica)</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No aplica – DNI No aplica</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Domicilio</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Prolongación Arequipa 250, distrito y provincia de Barranca, departamento de Lima</w:t>
            </w:r>
          </w:p>
        </w:tc>
      </w:tr>
      <w:tr>
        <w:tc>
          <w:tcPr>
            <w:tcW w:type="dxa" w:w="3118"/>
            <w:tcBorders>
              <w:top w:val="single" w:sz="6" w:color="D9D9D9"/>
              <w:left w:val="single" w:sz="6" w:color="D9D9D9"/>
              <w:bottom w:val="single" w:sz="6" w:color="D9D9D9"/>
              <w:right w:val="single" w:sz="6" w:color="D9D9D9"/>
            </w:tcBorders>
            <w:shd w:val="clear" w:color="auto" w:fill="1C1C1C"/>
            <w:vAlign w:val="center"/>
          </w:tcPr>
          <w:p>
            <w:r>
              <w:rPr>
                <w:rFonts w:ascii="Arial" w:hAnsi="Arial" w:cs="Arial" w:eastAsia="Arial"/>
                <w:b/>
                <w:i w:val="0"/>
                <w:color w:val="FFFFFF"/>
                <w:sz w:val="20"/>
              </w:rPr>
              <w:t>Teléfono / correo</w:t>
            </w:r>
          </w:p>
        </w:tc>
        <w:tc>
          <w:tcPr>
            <w:tcW w:type="dxa" w:w="5953"/>
            <w:tcBorders>
              <w:top w:val="single" w:sz="6" w:color="D9D9D9"/>
              <w:left w:val="single" w:sz="6" w:color="D9D9D9"/>
              <w:bottom w:val="single" w:sz="6" w:color="D9D9D9"/>
              <w:right w:val="single" w:sz="6" w:color="D9D9D9"/>
            </w:tcBorders>
            <w:shd w:val="clear" w:color="auto" w:fill="FAFAFA"/>
            <w:vAlign w:val="center"/>
          </w:tcPr>
          <w:p>
            <w:r>
              <w:rPr>
                <w:rFonts w:ascii="Arial" w:hAnsi="Arial" w:cs="Arial" w:eastAsia="Arial"/>
                <w:b w:val="0"/>
                <w:i/>
                <w:color w:val="595959"/>
                <w:sz w:val="20"/>
              </w:rPr>
              <w:t>____________________ / ____________________</w:t>
            </w:r>
          </w:p>
        </w:tc>
      </w:tr>
    </w:tbl>
    <w:p>
      <w:pPr>
        <w:spacing w:after="120" w:before="0" w:line="276" w:lineRule="auto"/>
        <w:jc w:val="left"/>
      </w:pPr>
      <w:r>
        <w:rPr>
          <w:rFonts w:ascii="Arial" w:hAnsi="Arial" w:cs="Arial" w:eastAsia="Arial"/>
          <w:b w:val="0"/>
          <w:i w:val="0"/>
          <w:sz w:val="12"/>
        </w:rPr>
      </w:r>
    </w:p>
    <w:p>
      <w:pPr>
        <w:spacing w:after="80" w:before="200" w:line="276" w:lineRule="auto"/>
        <w:jc w:val="left"/>
      </w:pPr>
      <w:r>
        <w:rPr>
          <w:rFonts w:ascii="Arial" w:hAnsi="Arial" w:cs="Arial" w:eastAsia="Arial"/>
          <w:b/>
          <w:i w:val="0"/>
          <w:color w:val="1C1C1C"/>
          <w:sz w:val="24"/>
        </w:rPr>
        <w:t>Cláusulas</w:t>
      </w:r>
    </w:p>
    <w:p>
      <w:pPr>
        <w:spacing w:after="40" w:before="120" w:line="276" w:lineRule="auto"/>
        <w:jc w:val="left"/>
      </w:pPr>
      <w:r>
        <w:rPr>
          <w:rFonts w:ascii="Arial" w:hAnsi="Arial" w:cs="Arial" w:eastAsia="Arial"/>
          <w:b/>
          <w:i w:val="0"/>
          <w:color w:val="1C1C1C"/>
          <w:sz w:val="22"/>
        </w:rPr>
        <w:t>PRIMERA – OBJETO</w:t>
      </w:r>
    </w:p>
    <w:p>
      <w:pPr>
        <w:spacing w:after="120" w:before="0" w:line="276" w:lineRule="auto"/>
        <w:jc w:val="both"/>
      </w:pPr>
      <w:r>
        <w:rPr>
          <w:rFonts w:ascii="Arial" w:hAnsi="Arial" w:cs="Arial" w:eastAsia="Arial"/>
          <w:b w:val="0"/>
          <w:i w:val="0"/>
          <w:sz w:val="20"/>
        </w:rPr>
        <w:t>El Vendedor se obliga a reservar a favor del Cliente la unidad inmobiliaria identificada en el cuadro Datos del Contrato y descrita en la Cláusula Segunda (en adelante, 'la Unidad') correspondiente al proyecto inmobiliario VIVA PRO, ubicado en Calle 22, Manzana JJ5, Lote 45, Urbanización Pro Quinto Sector Primera Etapa, Los Olivos, Lima, durante el plazo de vigencia pactado en este contrato, a cambio del pago del monto de separación establecido en la Cláusula Cuarta.</w:t>
      </w:r>
    </w:p>
    <w:p>
      <w:pPr>
        <w:spacing w:before="120" w:after="40"/>
      </w:pPr>
      <w:r>
        <w:rPr>
          <w:rFonts w:ascii="Arial" w:hAnsi="Arial" w:cs="Arial" w:eastAsia="Arial"/>
          <w:b/>
          <w:color w:val="1C1C1C"/>
          <w:sz w:val="22"/>
        </w:rPr>
        <w:t>SEGUNDA – DESCRIPCIÓN DE LA UNIDAD Y TOLERANCIA DE ÁREA</w:t>
      </w:r>
    </w:p>
    <w:p>
      <w:pPr>
        <w:spacing w:after="120" w:line="276" w:lineRule="auto"/>
        <w:jc w:val="both"/>
      </w:pPr>
      <w:r>
        <w:rPr>
          <w:rFonts w:ascii="Arial" w:hAnsi="Arial" w:cs="Arial" w:eastAsia="Arial"/>
          <w:sz w:val="20"/>
        </w:rPr>
        <w:t>La Unidad objeto del presente contrato corresponde al Departamento Nº 203 (Unidad Nº 05), ubicado en el piso 2 del proyecto VIVA PRO, tipología 3D-A, con las siguientes características: área techada de 76 m², distribución de sala-comedor, cocina, lavandería, tres (03) dormitorios y dos (02) baños, estacionamiento no incluido, depósito no incluido. Los planos, la memoria descriptiva y los acabados de la Unidad forman parte integrante del presente contrato como anexos.</w:t>
      </w:r>
    </w:p>
    <w:p>
      <w:pPr>
        <w:spacing w:after="120" w:line="276" w:lineRule="auto"/>
        <w:jc w:val="both"/>
      </w:pPr>
      <w:r>
        <w:rPr>
          <w:rFonts w:ascii="Arial" w:hAnsi="Arial" w:cs="Arial" w:eastAsia="Arial"/>
          <w:sz w:val="20"/>
        </w:rPr>
        <w:t>Por tratarse de una operación de compraventa de bien futuro, las partes aceptan que el área techada final podrá variar hasta en un tres por ciento (3%), sin que ello genere derecho a resolución del contrato ni a reajuste del precio. Cualquier variación superior requerirá acuerdo expreso entre las partes y, de corresponder, el reajuste proporcional del precio de venta.</w:t>
      </w:r>
    </w:p>
    <w:p>
      <w:pPr>
        <w:spacing w:after="40" w:before="120" w:line="276" w:lineRule="auto"/>
        <w:jc w:val="left"/>
      </w:pPr>
      <w:r>
        <w:rPr>
          <w:rFonts w:ascii="Arial" w:hAnsi="Arial" w:cs="Arial" w:eastAsia="Arial"/>
          <w:b/>
          <w:i w:val="0"/>
          <w:color w:val="1C1C1C"/>
          <w:sz w:val="22"/>
        </w:rPr>
        <w:t>TERCERA – PRECIO DE LA UNIDAD</w:t>
      </w:r>
    </w:p>
    <w:p>
      <w:pPr>
        <w:spacing w:after="120" w:before="0" w:line="276" w:lineRule="auto"/>
        <w:jc w:val="both"/>
      </w:pPr>
      <w:r>
        <w:rPr>
          <w:rFonts w:ascii="Arial" w:hAnsi="Arial" w:cs="Arial" w:eastAsia="Arial"/>
          <w:b w:val="0"/>
          <w:i w:val="0"/>
          <w:sz w:val="20"/>
        </w:rPr>
        <w:t>El precio total de venta de la Unidad es de S/ 320,000.00 (TRESCIENTOS VEINTE MIL CON 00/100 SOLES), más los tributos de ley que resulten aplicables. Este precio se mantendrá vigente durante el plazo de la presente separación, siempre que el Cliente cumpla con los pagos y la firma de la minuta dentro del plazo pactado.</w:t>
      </w:r>
    </w:p>
    <w:p>
      <w:pPr>
        <w:spacing w:after="40" w:before="120" w:line="276" w:lineRule="auto"/>
        <w:jc w:val="left"/>
      </w:pPr>
      <w:r>
        <w:rPr>
          <w:rFonts w:ascii="Arial" w:hAnsi="Arial" w:cs="Arial" w:eastAsia="Arial"/>
          <w:b/>
          <w:i w:val="0"/>
          <w:color w:val="1C1C1C"/>
          <w:sz w:val="22"/>
        </w:rPr>
        <w:t>CUARTA – MONTO DE SEPARACIÓN</w:t>
      </w:r>
    </w:p>
    <w:p>
      <w:pPr>
        <w:spacing w:after="120" w:before="0" w:line="276" w:lineRule="auto"/>
        <w:jc w:val="both"/>
      </w:pPr>
      <w:r>
        <w:rPr>
          <w:rFonts w:ascii="Arial" w:hAnsi="Arial" w:cs="Arial" w:eastAsia="Arial"/>
          <w:b w:val="0"/>
          <w:i w:val="0"/>
          <w:sz w:val="20"/>
        </w:rPr>
        <w:t>El Cliente entrega en este acto la suma de S/ 3,500.00 (TRES MIL QUINIENTOS CON 00/100 SOLES) como separación, la cual será imputada al precio de venta de la Unidad. El pago se realiza mediante transferencia bancaria o depósito a la cuenta recaudadora del proyecto Nº 200-3007447734 (CCI 003-200-003007447734-37) de Interbank.</w:t>
      </w:r>
    </w:p>
    <w:p>
      <w:pPr>
        <w:spacing w:after="40" w:before="120" w:line="276" w:lineRule="auto"/>
        <w:jc w:val="left"/>
      </w:pPr>
      <w:r>
        <w:rPr>
          <w:rFonts w:ascii="Arial" w:hAnsi="Arial" w:cs="Arial" w:eastAsia="Arial"/>
          <w:b/>
          <w:i w:val="0"/>
          <w:color w:val="1C1C1C"/>
          <w:sz w:val="22"/>
        </w:rPr>
        <w:t>QUINTA – PLAZO DE VIGENCIA</w:t>
      </w:r>
    </w:p>
    <w:p>
      <w:pPr>
        <w:spacing w:after="120" w:before="0" w:line="276" w:lineRule="auto"/>
        <w:jc w:val="both"/>
      </w:pPr>
      <w:r>
        <w:rPr>
          <w:rFonts w:ascii="Arial" w:hAnsi="Arial" w:cs="Arial" w:eastAsia="Arial"/>
          <w:b w:val="0"/>
          <w:i w:val="0"/>
          <w:sz w:val="20"/>
        </w:rPr>
        <w:t>La presente separación tiene una vigencia de quince (15) días calendario contados desde la fecha de firma. Dentro de este plazo, el Cliente se compromete a (i) presentar la documentación requerida, (ii) suscribir el contrato de compraventa de bien futuro y (iii) realizar el trámite para obtener la carta de aprobación del crédito hipotecario.</w:t>
      </w:r>
    </w:p>
    <w:p>
      <w:pPr>
        <w:spacing w:after="40" w:before="120" w:line="276" w:lineRule="auto"/>
        <w:jc w:val="left"/>
      </w:pPr>
      <w:r>
        <w:rPr>
          <w:rFonts w:ascii="Arial" w:hAnsi="Arial" w:cs="Arial" w:eastAsia="Arial"/>
          <w:b/>
          <w:i w:val="0"/>
          <w:color w:val="1C1C1C"/>
          <w:sz w:val="22"/>
        </w:rPr>
        <w:t>SEXTA – DOCUMENTACIÓN A ENTREGAR POR EL CLIENTE</w:t>
      </w:r>
    </w:p>
    <w:p>
      <w:pPr>
        <w:spacing w:after="120" w:before="0" w:line="276" w:lineRule="auto"/>
        <w:jc w:val="both"/>
      </w:pPr>
      <w:r>
        <w:rPr>
          <w:rFonts w:ascii="Arial" w:hAnsi="Arial" w:cs="Arial" w:eastAsia="Arial"/>
          <w:b w:val="0"/>
          <w:i w:val="0"/>
          <w:sz w:val="20"/>
        </w:rPr>
        <w:t>Dentro del plazo de la Cláusula Quinta, el Cliente deberá entregar: (a) copia de DNI o CE vigente; (b) copia de DNI del cónyuge, si aplica; (c) Ficha PLAFT de Conoce a tu Cliente debidamente completada y firmada; y (d) si opta por crédito hipotecario, iniciar el trámite con el banco y entregar la carta de aprobación del crédito hipotecario tan pronto la obtenga.</w:t>
      </w:r>
    </w:p>
    <w:p>
      <w:pPr>
        <w:spacing w:after="40" w:before="120" w:line="276" w:lineRule="auto"/>
        <w:jc w:val="left"/>
      </w:pPr>
      <w:r>
        <w:rPr>
          <w:rFonts w:ascii="Arial" w:hAnsi="Arial" w:cs="Arial" w:eastAsia="Arial"/>
          <w:b/>
          <w:i w:val="0"/>
          <w:color w:val="1C1C1C"/>
          <w:sz w:val="22"/>
        </w:rPr>
        <w:t>SÉPTIMA – DESISTIMIENTO</w:t>
      </w:r>
    </w:p>
    <w:p>
      <w:pPr>
        <w:spacing w:after="120" w:before="0" w:line="276" w:lineRule="auto"/>
        <w:jc w:val="both"/>
      </w:pPr>
      <w:r>
        <w:rPr>
          <w:rFonts w:ascii="Arial" w:hAnsi="Arial" w:cs="Arial" w:eastAsia="Arial"/>
          <w:b w:val="0"/>
          <w:i w:val="0"/>
          <w:sz w:val="20"/>
        </w:rPr>
        <w:t>El monto de separación será devuelto al Cliente en su totalidad, sin intereses ni penalidades, en un plazo no mayor de quince (15) días hábiles, cuando: (i) el desistimiento sea por causa imputable al Vendedor; o (ii) el Cliente no obtenga la aprobación del crédito hipotecario solicitado para el financiamiento de la compra, acreditándolo mediante carta de denegatoria emitida por la entidad bancaria evaluadora.</w:t>
      </w:r>
    </w:p>
    <w:p>
      <w:pPr>
        <w:spacing w:before="120" w:after="120"/>
        <w:jc w:val="both"/>
      </w:pPr>
      <w:r>
        <w:rPr>
          <w:sz w:val="20"/>
        </w:rPr>
        <w:t xml:space="preserve">En cualquier otro supuesto de desistimiento por causa no imputable al Vendedor, el monto de separación quedará a favor de este como penalidad por la indisponibilidad de la Unidad durante la vigencia.</w:t>
      </w:r>
    </w:p>
    <w:p>
      <w:pPr>
        <w:spacing w:after="40" w:before="120" w:line="276" w:lineRule="auto"/>
        <w:jc w:val="left"/>
      </w:pPr>
      <w:r>
        <w:rPr>
          <w:rFonts w:ascii="Arial" w:hAnsi="Arial" w:cs="Arial" w:eastAsia="Arial"/>
          <w:b/>
          <w:i w:val="0"/>
          <w:color w:val="1C1C1C"/>
          <w:sz w:val="22"/>
        </w:rPr>
        <w:t>OCTAVA – INFORMACIÓN DEL PROYECTO</w:t>
      </w:r>
    </w:p>
    <w:p>
      <w:pPr>
        <w:spacing w:after="120" w:before="0" w:line="276" w:lineRule="auto"/>
        <w:jc w:val="both"/>
      </w:pPr>
      <w:r>
        <w:rPr>
          <w:rFonts w:ascii="Arial" w:hAnsi="Arial" w:cs="Arial" w:eastAsia="Arial"/>
          <w:b w:val="0"/>
          <w:i w:val="0"/>
          <w:sz w:val="20"/>
        </w:rPr>
        <w:t>El Cliente declara haber recibido y revisado: (i) la proforma personalizada, (ii) la ficha técnica de la tipología, (iii) la lista de precios vigente, (iv) el cronograma de pagos preliminar y (v) información sobre el avance del proyecto. El Vendedor se obliga a mantener informado al Cliente sobre los hitos relevantes del proyecto.</w:t>
      </w:r>
    </w:p>
    <w:p>
      <w:pPr>
        <w:spacing w:after="40" w:before="120" w:line="276" w:lineRule="auto"/>
        <w:jc w:val="left"/>
      </w:pPr>
      <w:r>
        <w:rPr>
          <w:rFonts w:ascii="Arial" w:hAnsi="Arial" w:cs="Arial" w:eastAsia="Arial"/>
          <w:b/>
          <w:i w:val="0"/>
          <w:color w:val="1C1C1C"/>
          <w:sz w:val="22"/>
        </w:rPr>
        <w:t>NOVENA – PROTECCIÓN AL CONSUMIDOR</w:t>
      </w:r>
    </w:p>
    <w:p>
      <w:pPr>
        <w:spacing w:after="120" w:before="0" w:line="276" w:lineRule="auto"/>
        <w:jc w:val="both"/>
      </w:pPr>
      <w:r>
        <w:rPr>
          <w:rFonts w:ascii="Arial" w:hAnsi="Arial" w:cs="Arial" w:eastAsia="Arial"/>
          <w:b w:val="0"/>
          <w:i w:val="0"/>
          <w:sz w:val="20"/>
        </w:rPr>
        <w:t>Las partes declaran conocer y aceptar las disposiciones del Código de Protección y Defensa del Consumidor – Ley Nº 29571, en particular sus artículos 1, 2, 5 y 77. Cualquier información adicional solicitada por el Cliente podrá requerirse al correo gerencia.operaciones@lahausperu.com.</w:t>
      </w:r>
    </w:p>
    <w:p>
      <w:pPr>
        <w:spacing w:after="40" w:before="120" w:line="276" w:lineRule="auto"/>
        <w:jc w:val="left"/>
      </w:pPr>
      <w:r>
        <w:rPr>
          <w:rFonts w:ascii="Arial" w:hAnsi="Arial" w:cs="Arial" w:eastAsia="Arial"/>
          <w:b/>
          <w:i w:val="0"/>
          <w:color w:val="1C1C1C"/>
          <w:sz w:val="22"/>
        </w:rPr>
        <w:t>DÉCIMA – PREVENCIÓN DE LAVADO DE ACTIVOS</w:t>
      </w:r>
    </w:p>
    <w:p>
      <w:pPr>
        <w:spacing w:after="120" w:before="0" w:line="276" w:lineRule="auto"/>
        <w:jc w:val="both"/>
      </w:pPr>
      <w:r>
        <w:rPr>
          <w:rFonts w:ascii="Arial" w:hAnsi="Arial" w:cs="Arial" w:eastAsia="Arial"/>
          <w:b w:val="0"/>
          <w:i w:val="0"/>
          <w:sz w:val="20"/>
        </w:rPr>
        <w:t>Conforme a la Ley Nº 27693 y la Resolución SBS Nº 2660-2015, el Cliente declara bajo juramento que los fondos empleados en esta operación provienen de actividades lícitas, autorizando al Vendedor a efectuar las verificaciones y reportes que correspondan.</w:t>
      </w:r>
    </w:p>
    <w:p>
      <w:pPr>
        <w:spacing w:after="40" w:before="120" w:line="276" w:lineRule="auto"/>
        <w:jc w:val="left"/>
      </w:pPr>
      <w:r>
        <w:rPr>
          <w:rFonts w:ascii="Arial" w:hAnsi="Arial" w:cs="Arial" w:eastAsia="Arial"/>
          <w:b/>
          <w:i w:val="0"/>
          <w:color w:val="1C1C1C"/>
          <w:sz w:val="22"/>
        </w:rPr>
        <w:t>UNDÉCIMA – SOLUCIÓN DE CONTROVERSIAS</w:t>
      </w:r>
    </w:p>
    <w:p>
      <w:pPr>
        <w:spacing w:after="120" w:before="0" w:line="276" w:lineRule="auto"/>
        <w:jc w:val="both"/>
      </w:pPr>
      <w:r>
        <w:rPr>
          <w:rFonts w:ascii="Arial" w:hAnsi="Arial" w:cs="Arial" w:eastAsia="Arial"/>
          <w:b w:val="0"/>
          <w:i w:val="0"/>
          <w:sz w:val="20"/>
        </w:rPr>
        <w:t>Las partes se someten a la jurisdicción y competencia de los jueces y tribunales del Distrito Judicial de Lima, renunciando al fuero de sus domicilios.</w:t>
      </w:r>
    </w:p>
    <w:p>
      <w:pPr>
        <w:spacing w:after="160" w:before="160" w:line="276" w:lineRule="auto"/>
        <w:jc w:val="both"/>
      </w:pPr>
      <w:r>
        <w:rPr>
          <w:rFonts w:ascii="Arial" w:hAnsi="Arial" w:cs="Arial" w:eastAsia="Arial"/>
          <w:b w:val="0"/>
          <w:i/>
          <w:sz w:val="20"/>
        </w:rPr>
        <w:t>En señal de conformidad, ambas partes firman el presente documento en dos (2) ejemplares de igual contenido y valor, en la fecha indicada.</w:t>
      </w:r>
    </w:p>
    <w:p>
      <w:pPr>
        <w:spacing w:after="120" w:before="0" w:line="276" w:lineRule="auto"/>
        <w:jc w:val="left"/>
      </w:pPr>
      <w:r>
        <w:rPr>
          <w:rFonts w:ascii="Arial" w:hAnsi="Arial" w:cs="Arial" w:eastAsia="Arial"/>
          <w:b w:val="0"/>
          <w:i w:val="0"/>
          <w:sz w:val="48"/>
        </w:rPr>
      </w:r>
    </w:p>
    <w:tbl>
      <w:tblPr>
        <w:tblW w:type="auto" w:w="0"/>
        <w:jc w:val="center"/>
        <w:tblLook w:firstColumn="1" w:firstRow="1" w:lastColumn="0" w:lastRow="0" w:noHBand="0" w:noVBand="1" w:val="04A0"/>
      </w:tblPr>
      <w:tblGrid>
        <w:gridCol w:w="4536"/>
        <w:gridCol w:w="4536"/>
      </w:tblGrid>
      <w:tr>
        <w:tc>
          <w:tcPr>
            <w:tcW w:type="dxa" w:w="4536"/>
          </w:tcPr>
          <w:p>
            <w:pPr>
              <w:jc w:val="center"/>
            </w:pPr>
            <w:r>
              <w:t>_______________________________</w:t>
            </w:r>
          </w:p>
        </w:tc>
        <w:tc>
          <w:tcPr>
            <w:tcW w:type="dxa" w:w="4536"/>
          </w:tcPr>
          <w:p>
            <w:pPr>
              <w:jc w:val="center"/>
            </w:pPr>
            <w:r>
              <w:t>_______________________________</w:t>
            </w:r>
          </w:p>
        </w:tc>
      </w:tr>
      <w:tr>
        <w:tc>
          <w:tcPr>
            <w:tcW w:type="dxa" w:w="4536"/>
          </w:tcPr>
          <w:p>
            <w:pPr>
              <w:jc w:val="center"/>
            </w:pPr>
            <w:r>
              <w:rPr>
                <w:rFonts w:ascii="Arial" w:hAnsi="Arial" w:cs="Arial" w:eastAsia="Arial"/>
                <w:b/>
                <w:i w:val="0"/>
                <w:color w:val="1C1C1C"/>
                <w:sz w:val="20"/>
              </w:rPr>
              <w:t>EL VENDEDOR</w:t>
            </w:r>
          </w:p>
        </w:tc>
        <w:tc>
          <w:tcPr>
            <w:tcW w:type="dxa" w:w="4536"/>
          </w:tcPr>
          <w:p>
            <w:pPr>
              <w:jc w:val="center"/>
            </w:pPr>
            <w:r>
              <w:rPr>
                <w:rFonts w:ascii="Arial" w:hAnsi="Arial" w:cs="Arial" w:eastAsia="Arial"/>
                <w:b/>
                <w:i w:val="0"/>
                <w:color w:val="1C1C1C"/>
                <w:sz w:val="20"/>
              </w:rPr>
              <w:t>EL CLIENTE</w:t>
            </w:r>
          </w:p>
        </w:tc>
      </w:tr>
      <w:tr>
        <w:tc>
          <w:tcPr>
            <w:tcW w:type="dxa" w:w="4536"/>
          </w:tcPr>
          <w:p>
            <w:pPr>
              <w:jc w:val="center"/>
            </w:pPr>
            <w:r>
              <w:rPr>
                <w:rFonts w:ascii="Arial" w:hAnsi="Arial" w:cs="Arial" w:eastAsia="Arial"/>
                <w:b w:val="0"/>
                <w:i w:val="0"/>
                <w:color w:val="595959"/>
                <w:sz w:val="18"/>
              </w:rPr>
              <w:t>LA HAUS CONSTRUCTORA S.A.C.</w:t>
              <w:br/>
              <w:t>Paul Steven Acosta Arce – Gerente General</w:t>
            </w:r>
          </w:p>
        </w:tc>
        <w:tc>
          <w:tcPr>
            <w:tcW w:type="dxa" w:w="4536"/>
          </w:tcPr>
          <w:p>
            <w:pPr>
              <w:jc w:val="center"/>
            </w:pPr>
            <w:r>
              <w:rPr>
                <w:rFonts w:ascii="Arial" w:hAnsi="Arial" w:cs="Arial" w:eastAsia="Arial"/>
                <w:b w:val="0"/>
                <w:i w:val="0"/>
                <w:color w:val="595959"/>
                <w:sz w:val="18"/>
              </w:rPr>
              <w:t>YADIRA LISSET CABALLERO NOEL</w:t>
              <w:br/>
              <w:t>DNI 44578531</w:t>
            </w:r>
          </w:p>
        </w:tc>
      </w:tr>
    </w:tbl>
    <w:sectPr w:rsidR="00FC693F" w:rsidRPr="0006063C" w:rsidSect="00034616">
      <w:headerReference w:type="default" r:id="rId9"/>
      <w:footerReference w:type="default" r:id="rId10"/>
      <w:pgSz w:w="11906" w:h="16838"/>
      <w:pgMar w:top="2494" w:right="1417" w:bottom="1701" w:left="141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left="-1417" w:right="0"/>
      <w:jc w:val="left"/>
    </w:pPr>
    <w:r>
      <w:drawing>
        <wp:inline xmlns:a="http://schemas.openxmlformats.org/drawingml/2006/main" xmlns:pic="http://schemas.openxmlformats.org/drawingml/2006/picture">
          <wp:extent cx="7560000" cy="1158387"/>
          <wp:docPr id="1" name="Picture 1"/>
          <wp:cNvGraphicFramePr>
            <a:graphicFrameLocks noChangeAspect="1"/>
          </wp:cNvGraphicFramePr>
          <a:graphic>
            <a:graphicData uri="http://schemas.openxmlformats.org/drawingml/2006/picture">
              <pic:pic>
                <pic:nvPicPr>
                  <pic:cNvPr id="0" name="premium_A_footer.png"/>
                  <pic:cNvPicPr/>
                </pic:nvPicPr>
                <pic:blipFill>
                  <a:blip r:embed="rId1"/>
                  <a:stretch>
                    <a:fillRect/>
                  </a:stretch>
                </pic:blipFill>
                <pic:spPr>
                  <a:xfrm>
                    <a:off x="0" y="0"/>
                    <a:ext cx="7560000" cy="1158387"/>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left="-1417" w:right="0"/>
      <w:jc w:val="left"/>
    </w:pPr>
    <w:r>
      <w:drawing>
        <wp:inline xmlns:a="http://schemas.openxmlformats.org/drawingml/2006/main" xmlns:pic="http://schemas.openxmlformats.org/drawingml/2006/picture">
          <wp:extent cx="7560000" cy="2438710"/>
          <wp:docPr id="1" name="Picture 1"/>
          <wp:cNvGraphicFramePr>
            <a:graphicFrameLocks noChangeAspect="1"/>
          </wp:cNvGraphicFramePr>
          <a:graphic>
            <a:graphicData uri="http://schemas.openxmlformats.org/drawingml/2006/picture">
              <pic:pic>
                <pic:nvPicPr>
                  <pic:cNvPr id="0" name="premium_A_header.png"/>
                  <pic:cNvPicPr/>
                </pic:nvPicPr>
                <pic:blipFill>
                  <a:blip r:embed="rId1"/>
                  <a:stretch>
                    <a:fillRect/>
                  </a:stretch>
                </pic:blipFill>
                <pic:spPr>
                  <a:xfrm>
                    <a:off x="0" y="0"/>
                    <a:ext cx="7560000" cy="243871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Separación VIVA PRO</dc:title>
  <dc:subject/>
  <dc:creator>LA HAUS CONSTRUCTORA S.A.C.</dc:creator>
  <cp:keywords/>
  <dc:description>generated by python-docx</dc:description>
  <cp:lastModifiedBy/>
  <cp:revision>1</cp:revision>
  <dcterms:created xsi:type="dcterms:W3CDTF">2013-12-23T23:15:00Z</dcterms:created>
  <dcterms:modified xsi:type="dcterms:W3CDTF">2013-12-23T23:15:00Z</dcterms:modified>
  <cp:category/>
</cp:coreProperties>
</file>