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  <w:jc w:val="center"/>
      </w:pPr>
      <w:r>
        <w:rPr>
          <w:b/>
          <w:sz w:val="32"/>
          <w:color w:val="EA5A29"/>
        </w:rPr>
        <w:t>FICHA TÉCNICA</w:t>
      </w:r>
    </w:p>
    <w:p>
      <w:pPr>
        <w:spacing w:before="0" w:after="40"/>
        <w:jc w:val="center"/>
      </w:pPr>
      <w:r>
        <w:rPr>
          <w:b/>
          <w:sz w:val="22"/>
        </w:rPr>
        <w:t>Departamento N° 203 (Unidad N° 05) — Edificio VIVA PRO</w:t>
      </w:r>
    </w:p>
    <w:p>
      <w:pPr>
        <w:spacing w:before="0" w:after="240"/>
        <w:jc w:val="center"/>
      </w:pPr>
      <w:r>
        <w:rPr>
          <w:i/>
          <w:sz w:val="18"/>
          <w:color w:val="666666"/>
        </w:rPr>
        <w:t>Piso 2 — Tipología 3D-A — 76 m²</w:t>
      </w:r>
    </w:p>
    <w:p>
      <w:pPr>
        <w:spacing w:before="200" w:after="120"/>
      </w:pPr>
      <w:r>
        <w:rPr>
          <w:b/>
          <w:sz w:val="22"/>
          <w:color w:val="EA5A29"/>
        </w:rPr>
        <w:t>1. DATOS GENERALES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272"/>
      </w:tblGrid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Edificio VIVA PRO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Ubicación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Calle 22, Manzana JJ5, Lote 45, Urbanización Pro Quinto Sector Primera Etapa, Los Olivos, Lima.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Unidad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Departamento N° 203 (Unidad N° 05).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Piso / Tipología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Piso 2 — Tipología 3D-A.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Área techada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76 m² (con tolerancia de variación de hasta 3% por tratarse de bien futuro).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Área de terraza (no techada)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XX m² (área no techada).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Distribución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Sala-comedor, cocina, lavandería, tres (03) dormitorios y dos (02) baños.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Inicio de construcción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Julio de 2026.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r>
              <w:rPr>
                <w:b/>
                <w:sz w:val="18"/>
              </w:rPr>
              <w:t>Entrega proyectada</w:t>
            </w:r>
          </w:p>
        </w:tc>
        <w:tc>
          <w:tcPr>
            <w:tcW w:w="6272" w:type="dxa"/>
          </w:tcPr>
          <w:p>
            <w:r>
              <w:rPr>
                <w:sz w:val="18"/>
              </w:rPr>
              <w:t>Diciembre de 2027.</w:t>
            </w:r>
          </w:p>
        </w:tc>
      </w:tr>
    </w:tbl>
    <w:p>
      <w:pPr>
        <w:pageBreakBefore/>
        <w:spacing w:before="320" w:after="120"/>
      </w:pPr>
      <w:r>
        <w:rPr>
          <w:b/>
          <w:sz w:val="22"/>
          <w:color w:val="EA5A29"/>
        </w:rPr>
        <w:t>2. DISTRIBUCIÓN DE AMBIENTES</w:t>
      </w:r>
    </w:p>
    <w:p>
      <w:pPr>
        <w:spacing w:before="0" w:after="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700000" cy="4837500"/>
            <wp:docPr id="100" name="Plano de distribu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plano_distribucion.jpe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8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i/>
          <w:sz w:val="16"/>
          <w:color w:val="666666"/>
        </w:rPr>
        <w:t>Imagen referencial. La distribución y mobiliario son ilustrativos.</w:t>
      </w:r>
    </w:p>
    <w:p>
      <w:pPr>
        <w:pageBreakBefore/>
        <w:spacing w:before="320" w:after="120"/>
      </w:pPr>
      <w:r>
        <w:rPr>
          <w:b/>
          <w:sz w:val="22"/>
          <w:color w:val="EA5A29"/>
        </w:rPr>
        <w:t>3. CUADRO DE ACABADOS POR AMBIENTE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00"/>
        <w:gridCol w:w="2400"/>
        <w:gridCol w:w="2400"/>
        <w:gridCol w:w="2072"/>
      </w:tblGrid>
      <w:tr>
        <w:trPr>
          <w:tblHeader/>
        </w:trPr>
        <w:tc>
          <w:tcPr>
            <w:tcW w:w="2200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w="2400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Piso</w:t>
            </w:r>
          </w:p>
        </w:tc>
        <w:tc>
          <w:tcPr>
            <w:tcW w:w="2400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Pared</w:t>
            </w:r>
          </w:p>
        </w:tc>
        <w:tc>
          <w:tcPr>
            <w:tcW w:w="2072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Equipamiento / accesorios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Sala-comedor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tipo tablón símil madera.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Empastado y pintura mate; listelo decorativo.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Lámparas decorativas con dicroicos; intercomunicador interior, voz y portero eléctrico.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Cocina integrada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Porcelanato.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Empastado y pintura mate; listelo decorativo; ventana de vidrio 6 mm sistema Nova.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Mezcladora monocomando de cocina Pratello o similar.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Cocina (mueble)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Cerámico; zócalo en madera.</w:t>
            </w:r>
          </w:p>
        </w:tc>
        <w:tc>
          <w:tcPr>
            <w:tcW w:w="2400" w:type="dxa"/>
          </w:tcPr>
          <w:p>
            <w:r>
              <w:rPr>
                <w:b/>
                <w:sz w:val="17"/>
                <w:color w:val="EA5A29"/>
              </w:rPr>
              <w:t>Mesa de cuarzo (tablero).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Mueble alto y bajo de melamine 18 mm; puertas secundarias contraplacadas con laminado cedro.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Baño principal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(zona húmeda); empastado y pintura mate en resto.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Inodoro Cantice Pratello o similar; lavatorio de fibra de vidrio; mezcladora de ducha Andelli Buzos o similar; mezcladora monocomando lavatorio Pratello.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Baño dormitorio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(zona húmeda); empastado y pintura mate en resto.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Inodoro Cantice Pratello o similar; lavatorio de fibra de vidrio; mezcladora de ducha y monocomando de lavatorio.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Dormitorio principal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tipo tablón símil madera; zócalo de madera.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Empastado y pintura mate.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Lámparas decorativas con dicroicos.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Dormitorios secundarios (02)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tipo tablón símil madera; zócalo de madera.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Empastado y pintura mate.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Lámparas decorativas con dicroicos.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Lavandería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 (zona húmeda); empastado y pintura mate en resto.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Caño jardín estándar; lavadero de ropa.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Terraza (azotea)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Cerámico.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Perímetro con paredes pintadas; entrega no techada.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rPr>
                <w:b/>
                <w:sz w:val="17"/>
              </w:rPr>
              <w:t>Estacionamiento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Cemento pulido.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>Empastado y pintura.</w:t>
            </w:r>
          </w:p>
        </w:tc>
        <w:tc>
          <w:tcPr>
            <w:tcW w:w="2072" w:type="dxa"/>
          </w:tcPr>
          <w:p>
            <w:r>
              <w:rPr>
                <w:sz w:val="17"/>
              </w:rPr>
              <w:t>Reja corrediza de apertura manual (no automática).</w:t>
            </w:r>
          </w:p>
        </w:tc>
      </w:tr>
    </w:tbl>
    <w:p>
      <w:pPr>
        <w:spacing w:before="320" w:after="120"/>
      </w:pPr>
      <w:r>
        <w:rPr>
          <w:b/>
          <w:sz w:val="22"/>
          <w:color w:val="EA5A29"/>
        </w:rPr>
        <w:t>4. SERVICIOS Y ÁREAS COMUNES</w:t>
      </w:r>
    </w:p>
    <w:p>
      <w:pPr>
        <w:spacing w:before="60" w:after="60"/>
        <w:ind w:left="360" w:hanging="180"/>
      </w:pPr>
      <w:r>
        <w:rPr>
          <w:sz w:val="18"/>
        </w:rPr>
        <w:t xml:space="preserve">•  Puerta principal con estructura de madera seca enchapada en MDF, en tono madera.</w:t>
      </w:r>
    </w:p>
    <w:p>
      <w:pPr>
        <w:spacing w:before="60" w:after="60"/>
        <w:ind w:left="360" w:hanging="180"/>
      </w:pPr>
      <w:r>
        <w:rPr>
          <w:sz w:val="18"/>
        </w:rPr>
        <w:t xml:space="preserve">•  Puertas interiores con estructura de madera seca enchapada en MDF, pintadas en color blanco.</w:t>
      </w:r>
    </w:p>
    <w:p>
      <w:pPr>
        <w:spacing w:before="60" w:after="60"/>
        <w:ind w:left="360" w:hanging="180"/>
      </w:pPr>
      <w:r>
        <w:rPr>
          <w:sz w:val="18"/>
        </w:rPr>
        <w:t xml:space="preserve">•  Ascensor de pasajeros marca JV Ascensores S.A. o similar.</w:t>
      </w:r>
    </w:p>
    <w:p>
      <w:pPr>
        <w:spacing w:before="60" w:after="60"/>
        <w:ind w:left="360" w:hanging="180"/>
      </w:pPr>
      <w:r>
        <w:rPr>
          <w:sz w:val="18"/>
        </w:rPr>
        <w:t xml:space="preserve">•  Pasamanos de escalera en acero inoxidable.</w:t>
      </w:r>
    </w:p>
    <w:p>
      <w:pPr>
        <w:spacing w:before="80" w:after="40"/>
        <w:ind w:left="360" w:hanging="180"/>
      </w:pPr>
      <w:r>
        <w:rPr>
          <w:b/>
          <w:sz w:val="18"/>
        </w:rPr>
        <w:t xml:space="preserve">•  Servicios independientes por unidad:</w:t>
      </w:r>
    </w:p>
    <w:p>
      <w:pPr>
        <w:spacing w:before="40" w:after="40"/>
        <w:ind w:left="720" w:hanging="220"/>
      </w:pPr>
      <w:r>
        <w:rPr>
          <w:sz w:val="17"/>
        </w:rPr>
        <w:t xml:space="preserve">–  </w:t>
      </w:r>
      <w:r>
        <w:rPr>
          <w:b/>
          <w:sz w:val="17"/>
        </w:rPr>
        <w:t xml:space="preserve">Energía eléctrica: </w:t>
      </w:r>
      <w:r>
        <w:rPr>
          <w:sz w:val="17"/>
        </w:rPr>
        <w:t xml:space="preserve">medidor independiente suministrado por Enel Distribución Perú.</w:t>
      </w:r>
    </w:p>
    <w:p>
      <w:pPr>
        <w:spacing w:before="40" w:after="40"/>
        <w:ind w:left="720" w:hanging="220"/>
      </w:pPr>
      <w:r>
        <w:rPr>
          <w:sz w:val="17"/>
        </w:rPr>
        <w:t xml:space="preserve">–  </w:t>
      </w:r>
      <w:r>
        <w:rPr>
          <w:b/>
          <w:sz w:val="17"/>
        </w:rPr>
        <w:t xml:space="preserve">Agua: </w:t>
      </w:r>
      <w:r>
        <w:rPr>
          <w:sz w:val="17"/>
        </w:rPr>
        <w:t xml:space="preserve">contómetro (medidor) interno independiente por departamento.</w:t>
      </w:r>
    </w:p>
    <w:p>
      <w:pPr>
        <w:spacing w:before="40" w:after="40"/>
        <w:ind w:left="720" w:hanging="220"/>
      </w:pPr>
      <w:r>
        <w:rPr>
          <w:sz w:val="17"/>
        </w:rPr>
        <w:t xml:space="preserve">–  </w:t>
      </w:r>
      <w:r>
        <w:rPr>
          <w:b/>
          <w:sz w:val="17"/>
        </w:rPr>
        <w:t xml:space="preserve">Gas natural: </w:t>
      </w:r>
      <w:r>
        <w:rPr>
          <w:sz w:val="17"/>
        </w:rPr>
        <w:t xml:space="preserve">instalación con dos (02) puntos de salida ya instalados. La empresa concesionaria (Cálidda) facturará el costo de instalación a través del recibo mensual de servicio.</w:t>
      </w:r>
    </w:p>
    <w:p>
      <w:pPr>
        <w:spacing w:before="60" w:after="60"/>
        <w:ind w:left="360" w:hanging="180"/>
      </w:pPr>
      <w:r>
        <w:rPr>
          <w:sz w:val="18"/>
        </w:rPr>
        <w:t xml:space="preserve">•  Luces de emergencia en estacionamiento, escalera, ingreso y hall de escalera; luminarias tipo LED.</w:t>
      </w:r>
    </w:p>
    <w:p>
      <w:pPr>
        <w:spacing w:before="60" w:after="60"/>
        <w:ind w:left="360" w:hanging="180"/>
      </w:pPr>
      <w:r>
        <w:rPr>
          <w:sz w:val="18"/>
        </w:rPr>
        <w:t xml:space="preserve">•  Estacionamiento con piso de cemento pulido (no incluido en la presente unidad).</w:t>
      </w:r>
    </w:p>
    <w:p>
      <w:pPr>
        <w:spacing w:before="240" w:after="60"/>
        <w:jc w:val="both"/>
      </w:pPr>
      <w:r>
        <w:rPr>
          <w:b/>
          <w:sz w:val="16"/>
          <w:color w:val="C00000"/>
        </w:rPr>
        <w:t xml:space="preserve">Importante: los clósets y roperos NO están incluidos en la entrega de ninguna unidad. </w:t>
      </w:r>
      <w:r>
        <w:rPr>
          <w:sz w:val="16"/>
          <w:color w:val="666666"/>
        </w:rPr>
        <w:t>Todo elemento, mobiliario o acabado no descrito expresamente en la presente ficha y en el Catálogo de Acabados Garantizados de VIVA PRO no forma parte de la entrega (p. ej. clósets, roperos, muebles de dormitorio, cortinas y similares).</w:t>
      </w:r>
    </w:p>
    <w:p>
      <w:pPr>
        <w:spacing w:before="320" w:after="120"/>
        <w:jc w:val="both"/>
      </w:pPr>
      <w:r>
        <w:rPr>
          <w:i/>
          <w:sz w:val="16"/>
          <w:color w:val="666666"/>
        </w:rPr>
        <w:t>La presente ficha técnica tiene carácter referencial. Los acabados, marcas y modelos pueden ser sustituidos por otros de igual o superior calidad, sujeto a disponibilidad del mercado y a criterio del proyecto. El detalle definitivo se ratificará en el Catálogo de Acabados Garantizados de VIVA PRO, anexo al Contrato de Compraventa de Bien Futuro.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417" w:bottom="215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foot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2743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head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2743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plano_distribucion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ACOGEPP-style – LA HAUS</dc:title>
  <dc:subject/>
  <dc:creator>LA HAUS CONSTRUCTORA S.A.C.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