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0"/>
        <w:jc w:val="right"/>
      </w:pPr>
      <w:r>
        <w:rPr>
          <w:sz w:val="20"/>
          <w:color w:val="666666"/>
        </w:rPr>
        <w:t>Lima, 11 de junio de 2026</w:t>
      </w:r>
    </w:p>
    <w:p>
      <w:pPr>
        <w:spacing w:before="0" w:after="240"/>
        <w:jc w:val="right"/>
      </w:pPr>
      <w:r>
        <w:rPr>
          <w:sz w:val="18"/>
          <w:color w:val="888888"/>
        </w:rPr>
        <w:t>Ref.: PROP-VP-203-2026-01A-v2</w:t>
      </w:r>
    </w:p>
    <w:p>
      <w:pPr>
        <w:spacing w:before="120" w:after="0"/>
      </w:pPr>
      <w:r>
        <w:rPr>
          <w:b/>
          <w:sz w:val="22"/>
        </w:rPr>
        <w:t>Señora:</w:t>
      </w:r>
    </w:p>
    <w:p>
      <w:pPr>
        <w:spacing w:before="0" w:after="0"/>
      </w:pPr>
      <w:r>
        <w:rPr>
          <w:b/>
          <w:sz w:val="22"/>
        </w:rPr>
        <w:t>YADIRA LISSET CABALLERO NOEL</w:t>
      </w:r>
    </w:p>
    <w:p>
      <w:pPr>
        <w:spacing w:before="0" w:after="0"/>
      </w:pPr>
      <w:r>
        <w:rPr>
          <w:sz w:val="20"/>
          <w:color w:val="666666"/>
        </w:rPr>
        <w:t>DNI: 44578531 — Estado civil: Soltera</w:t>
      </w:r>
    </w:p>
    <w:p>
      <w:pPr>
        <w:spacing w:before="0" w:after="240"/>
      </w:pPr>
      <w:r>
        <w:rPr>
          <w:sz w:val="20"/>
          <w:color w:val="666666"/>
        </w:rPr>
        <w:t>Presente.—</w:t>
      </w:r>
    </w:p>
    <w:p>
      <w:pPr>
        <w:spacing w:before="120" w:after="200"/>
      </w:pPr>
      <w:r>
        <w:rPr>
          <w:b/>
          <w:sz w:val="22"/>
        </w:rPr>
        <w:t xml:space="preserve">Asunto: </w:t>
      </w:r>
      <w:r>
        <w:rPr>
          <w:sz w:val="22"/>
        </w:rPr>
        <w:t>Propuesta comercial formal — Opción A — Departamento 203, Edificio VIVA PRO (financiamiento directo con LA HAUS en armadas cuatrimestrales).</w:t>
      </w:r>
    </w:p>
    <w:p>
      <w:pPr>
        <w:spacing w:before="120" w:after="200"/>
        <w:jc w:val="both"/>
      </w:pPr>
      <w:r>
        <w:rPr>
          <w:sz w:val="22"/>
        </w:rPr>
        <w:t xml:space="preserve">Estimada Sra. Caballero: </w:t>
      </w:r>
    </w:p>
    <w:p>
      <w:pPr>
        <w:spacing w:before="0" w:after="240"/>
        <w:jc w:val="both"/>
      </w:pPr>
      <w:r>
        <w:rPr>
          <w:sz w:val="22"/>
        </w:rPr>
        <w:t xml:space="preserve">Por medio de la presente, </w:t>
      </w:r>
      <w:r>
        <w:rPr>
          <w:b/>
          <w:sz w:val="22"/>
        </w:rPr>
        <w:t>LA HAUS CONSTRUCTORA S.A.C.</w:t>
      </w:r>
      <w:r>
        <w:rPr>
          <w:sz w:val="22"/>
        </w:rPr>
        <w:t xml:space="preserve"> (RUC 20611277211), promotora del proyecto inmobiliario </w:t>
      </w:r>
      <w:r>
        <w:rPr>
          <w:b/>
          <w:sz w:val="22"/>
        </w:rPr>
        <w:t>VIVA PRO</w:t>
      </w:r>
      <w:r>
        <w:rPr>
          <w:sz w:val="22"/>
        </w:rPr>
        <w:t xml:space="preserve">, tiene el agrado de presentarle la </w:t>
      </w:r>
      <w:r>
        <w:rPr>
          <w:b/>
          <w:sz w:val="22"/>
        </w:rPr>
        <w:t>Opción A</w:t>
      </w:r>
      <w:r>
        <w:rPr>
          <w:sz w:val="22"/>
        </w:rPr>
        <w:t xml:space="preserve"> para la adquisición del </w:t>
      </w:r>
      <w:r>
        <w:rPr>
          <w:b/>
          <w:sz w:val="22"/>
        </w:rPr>
        <w:t>Departamento 203</w:t>
      </w:r>
      <w:r>
        <w:rPr>
          <w:sz w:val="22"/>
        </w:rPr>
        <w:t>, bajo un esquema de financiamiento directo con LA HAUS, con cuota inicial fraccionada del 40% y saldo del 60% en cuatro (04) armadas trimestrales hasta la entrega del inmueble.</w:t>
      </w:r>
    </w:p>
    <w:p>
      <w:pPr>
        <w:spacing w:before="240" w:after="120"/>
      </w:pPr>
      <w:r>
        <w:rPr>
          <w:b/>
          <w:sz w:val="24"/>
          <w:color w:val="EA5A29"/>
        </w:rPr>
        <w:t>1. DATOS DEL INMUEBLE</w:t>
      </w:r>
    </w:p>
    <w:tbl>
      <w:tblPr>
        <w:tblW w:w="9072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24"/>
        <w:gridCol w:w="6048"/>
      </w:tblGrid>
      <w:tr>
        <w:tc>
          <w:tcPr>
            <w:tcW w:w="3024" w:type="dxa"/>
            <w:shd w:val="clear" w:color="auto" w:fill="F2F2F2"/>
          </w:tcPr>
          <w:p>
            <w:r>
              <w:rPr>
                <w:b/>
                <w:sz w:val="20"/>
              </w:rPr>
              <w:t>Proyecto</w:t>
            </w:r>
          </w:p>
        </w:tc>
        <w:tc>
          <w:tcPr>
            <w:tcW w:w="6048" w:type="dxa"/>
          </w:tcPr>
          <w:p>
            <w:r>
              <w:rPr>
                <w:sz w:val="20"/>
              </w:rPr>
              <w:t>Edificio VIVA PRO — Los Olivos, Lima.</w:t>
            </w:r>
          </w:p>
        </w:tc>
      </w:tr>
      <w:tr>
        <w:tc>
          <w:tcPr>
            <w:tcW w:w="3024" w:type="dxa"/>
            <w:shd w:val="clear" w:color="auto" w:fill="F2F2F2"/>
          </w:tcPr>
          <w:p>
            <w:r>
              <w:rPr>
                <w:b/>
                <w:sz w:val="20"/>
              </w:rPr>
              <w:t>Unidad inmobiliaria</w:t>
            </w:r>
          </w:p>
        </w:tc>
        <w:tc>
          <w:tcPr>
            <w:tcW w:w="6048" w:type="dxa"/>
          </w:tcPr>
          <w:p>
            <w:r>
              <w:rPr>
                <w:sz w:val="20"/>
              </w:rPr>
              <w:t>Departamento N.° 203, Piso 2.</w:t>
            </w:r>
          </w:p>
        </w:tc>
      </w:tr>
      <w:tr>
        <w:tc>
          <w:tcPr>
            <w:tcW w:w="3024" w:type="dxa"/>
            <w:shd w:val="clear" w:color="auto" w:fill="F2F2F2"/>
          </w:tcPr>
          <w:p>
            <w:r>
              <w:rPr>
                <w:b/>
                <w:sz w:val="20"/>
              </w:rPr>
              <w:t>Tipología</w:t>
            </w:r>
          </w:p>
        </w:tc>
        <w:tc>
          <w:tcPr>
            <w:tcW w:w="6048" w:type="dxa"/>
          </w:tcPr>
          <w:p>
            <w:r>
              <w:rPr>
                <w:sz w:val="20"/>
              </w:rPr>
              <w:t>3 dormitorios (3D-A) — 76 m² de área techada.</w:t>
            </w:r>
          </w:p>
        </w:tc>
      </w:tr>
      <w:tr>
        <w:tc>
          <w:tcPr>
            <w:tcW w:w="3024" w:type="dxa"/>
            <w:shd w:val="clear" w:color="auto" w:fill="F2F2F2"/>
          </w:tcPr>
          <w:p>
            <w:r>
              <w:rPr>
                <w:b/>
                <w:sz w:val="20"/>
              </w:rPr>
              <w:t>Precio negociado</w:t>
            </w:r>
          </w:p>
        </w:tc>
        <w:tc>
          <w:tcPr>
            <w:tcW w:w="6048" w:type="dxa"/>
          </w:tcPr>
          <w:p>
            <w:r>
              <w:rPr>
                <w:b/>
                <w:sz w:val="20"/>
              </w:rPr>
              <w:t>@@PRECIO_DUAL@@</w:t>
            </w:r>
            <w:r>
              <w:rPr>
                <w:sz w:val="20"/>
              </w:rPr>
              <w:t/>
            </w:r>
          </w:p>
        </w:tc>
      </w:tr>
      <w:tr>
        <w:tc>
          <w:tcPr>
            <w:tcW w:w="3024" w:type="dxa"/>
            <w:shd w:val="clear" w:color="auto" w:fill="F2F2F2"/>
          </w:tcPr>
          <w:p>
            <w:r>
              <w:rPr>
                <w:b/>
                <w:sz w:val="20"/>
              </w:rPr>
              <w:t>Inicio de construcción</w:t>
            </w:r>
          </w:p>
        </w:tc>
        <w:tc>
          <w:tcPr>
            <w:tcW w:w="6048" w:type="dxa"/>
          </w:tcPr>
          <w:p>
            <w:r>
              <w:rPr>
                <w:sz w:val="20"/>
              </w:rPr>
              <w:t>Julio de 2026.</w:t>
            </w:r>
          </w:p>
        </w:tc>
      </w:tr>
      <w:tr>
        <w:tc>
          <w:tcPr>
            <w:tcW w:w="3024" w:type="dxa"/>
            <w:shd w:val="clear" w:color="auto" w:fill="F2F2F2"/>
          </w:tcPr>
          <w:p>
            <w:r>
              <w:rPr>
                <w:b/>
                <w:sz w:val="20"/>
              </w:rPr>
              <w:t>Casco terminado (referencial)</w:t>
            </w:r>
          </w:p>
        </w:tc>
        <w:tc>
          <w:tcPr>
            <w:tcW w:w="6048" w:type="dxa"/>
          </w:tcPr>
          <w:p>
            <w:r>
              <w:rPr>
                <w:sz w:val="20"/>
              </w:rPr>
              <w:t>Abril de 2027.</w:t>
            </w:r>
          </w:p>
        </w:tc>
      </w:tr>
      <w:tr>
        <w:tc>
          <w:tcPr>
            <w:tcW w:w="3024" w:type="dxa"/>
            <w:shd w:val="clear" w:color="auto" w:fill="F2F2F2"/>
          </w:tcPr>
          <w:p>
            <w:r>
              <w:rPr>
                <w:b/>
                <w:sz w:val="20"/>
              </w:rPr>
              <w:t>Entrega proyectada</w:t>
            </w:r>
          </w:p>
        </w:tc>
        <w:tc>
          <w:tcPr>
            <w:tcW w:w="6048" w:type="dxa"/>
          </w:tcPr>
          <w:p>
            <w:r>
              <w:rPr>
                <w:sz w:val="20"/>
              </w:rPr>
              <w:t>Diciembre de 2027.</w:t>
            </w:r>
          </w:p>
        </w:tc>
      </w:tr>
    </w:tbl>
    <w:p>
      <w:pPr>
        <w:spacing w:before="360" w:after="120"/>
      </w:pPr>
      <w:r>
        <w:rPr>
          <w:b/>
          <w:sz w:val="24"/>
          <w:color w:val="EA5A29"/>
        </w:rPr>
        <w:t>2. ESTRUCTURA DE PAGO — OPCIÓN A (FINANCIAMIENTO DIRECTO)</w:t>
      </w:r>
    </w:p>
    <w:p>
      <w:pPr>
        <w:spacing w:before="0" w:after="200"/>
        <w:jc w:val="both"/>
      </w:pPr>
      <w:r>
        <w:rPr>
          <w:sz w:val="22"/>
        </w:rPr>
        <w:t>El precio de venta se cancela directamente a LA HAUS, sin intervención bancaria, conforme al siguiente cronograma:</w:t>
      </w:r>
    </w:p>
    <w:tbl>
      <w:tblPr>
        <w:tblW w:w="9072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3300"/>
        <w:gridCol w:w="2372"/>
        <w:gridCol w:w="1500"/>
        <w:gridCol w:w="1200"/>
      </w:tblGrid>
      <w:tr>
        <w:trPr>
          <w:tblHeader/>
        </w:trPr>
        <w:tc>
          <w:tcPr>
            <w:tcW w:w="700" w:type="dxa"/>
            <w:shd w:val="clear" w:color="auto" w:fill="EA5A2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00" w:type="dxa"/>
            <w:shd w:val="clear" w:color="auto" w:fill="EA5A29"/>
          </w:tcPr>
          <w:p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2372" w:type="dxa"/>
            <w:shd w:val="clear" w:color="auto" w:fill="EA5A29"/>
          </w:tcPr>
          <w:p>
            <w:r>
              <w:rPr>
                <w:b/>
                <w:color w:val="FFFFFF"/>
                <w:sz w:val="18"/>
              </w:rPr>
              <w:t>Fecha de pago</w:t>
            </w:r>
          </w:p>
        </w:tc>
        <w:tc>
          <w:tcPr>
            <w:tcW w:w="1500" w:type="dxa"/>
            <w:shd w:val="clear" w:color="auto" w:fill="EA5A29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Monto (S/)</w:t>
            </w:r>
          </w:p>
        </w:tc>
        <w:tc>
          <w:tcPr>
            <w:tcW w:w="1200" w:type="dxa"/>
            <w:shd w:val="clear" w:color="auto" w:fill="EA5A29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% precio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300" w:type="dxa"/>
          </w:tcPr>
          <w:p>
            <w:r>
              <w:rPr>
                <w:b/>
                <w:sz w:val="20"/>
              </w:rPr>
              <w:t>Separación</w:t>
            </w:r>
          </w:p>
          <w:p>
            <w:r>
              <w:rPr>
                <w:sz w:val="18"/>
                <w:color w:val="666666"/>
              </w:rPr>
              <w:t>US$ 1,000.00 (a cuenta del 20% de la firma)</w:t>
            </w:r>
          </w:p>
        </w:tc>
        <w:tc>
          <w:tcPr>
            <w:tcW w:w="2372" w:type="dxa"/>
          </w:tcPr>
          <w:p>
            <w:r>
              <w:rPr>
                <w:sz w:val="20"/>
              </w:rPr>
              <w:t>A la suscripción de la presente (junio 2026).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b/>
                <w:sz w:val="20"/>
              </w:rPr>
              <w:t>3,500.00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20"/>
              </w:rPr>
              <w:t>1.09 %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300" w:type="dxa"/>
          </w:tcPr>
          <w:p>
            <w:r>
              <w:rPr>
                <w:b/>
                <w:sz w:val="20"/>
              </w:rPr>
              <w:t>Saldo del 20% a la firma del Contrato de Bien Futuro (notaría)</w:t>
            </w:r>
          </w:p>
          <w:p>
            <w:r>
              <w:rPr>
                <w:sz w:val="18"/>
                <w:color w:val="666666"/>
              </w:rPr>
              <w:t>S/ 64,000 menos separación</w:t>
            </w:r>
          </w:p>
        </w:tc>
        <w:tc>
          <w:tcPr>
            <w:tcW w:w="2372" w:type="dxa"/>
          </w:tcPr>
          <w:p>
            <w:r>
              <w:rPr>
                <w:sz w:val="20"/>
              </w:rPr>
              <w:t>A la firma del contrato (junio 2026).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b/>
                <w:sz w:val="20"/>
              </w:rPr>
              <w:t>60,500.00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20"/>
              </w:rPr>
              <w:t>18.91 %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300" w:type="dxa"/>
          </w:tcPr>
          <w:p>
            <w:r>
              <w:rPr>
                <w:b/>
                <w:sz w:val="20"/>
              </w:rPr>
              <w:t>20% al término del casco</w:t>
            </w:r>
          </w:p>
          <w:p>
            <w:r>
              <w:rPr>
                <w:sz w:val="18"/>
                <w:color w:val="666666"/>
              </w:rPr>
              <w:t>Pago contra hito de obra: casco terminado</w:t>
            </w:r>
          </w:p>
        </w:tc>
        <w:tc>
          <w:tcPr>
            <w:tcW w:w="2372" w:type="dxa"/>
          </w:tcPr>
          <w:p>
            <w:r>
              <w:rPr>
                <w:sz w:val="20"/>
              </w:rPr>
              <w:t>Abril de 2027.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b/>
                <w:sz w:val="20"/>
              </w:rPr>
              <w:t>64,000.00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20"/>
              </w:rPr>
              <w:t>20.00 %</w:t>
            </w:r>
          </w:p>
        </w:tc>
      </w:tr>
      <w:tr>
        <w:tc>
          <w:tcPr>
            <w:tcW w:w="700" w:type="dxa"/>
            <w:shd w:val="clear" w:color="auto" w:fill="FFF4EE"/>
          </w:tcPr>
          <w:p>
            <w:pPr>
              <w:jc w:val="center"/>
            </w:pPr>
            <w:r>
              <w:rPr>
                <w:b/>
                <w:sz w:val="20"/>
              </w:rPr>
              <w:t>=</w:t>
            </w:r>
          </w:p>
        </w:tc>
        <w:tc>
          <w:tcPr>
            <w:tcW w:w="3300" w:type="dxa"/>
            <w:shd w:val="clear" w:color="auto" w:fill="FFF4EE"/>
          </w:tcPr>
          <w:p>
            <w:r>
              <w:rPr>
                <w:b/>
                <w:sz w:val="20"/>
              </w:rPr>
              <w:t>Subtotal cuota inicial (40%)</w:t>
            </w:r>
          </w:p>
        </w:tc>
        <w:tc>
          <w:tcPr>
            <w:tcW w:w="2372" w:type="dxa"/>
            <w:shd w:val="clear" w:color="auto" w:fill="FFF4EE"/>
          </w:tcPr>
          <w:p>
            <w:r>
              <w:rPr>
                <w:sz w:val="20"/>
              </w:rPr>
              <w:t>Cancelado al cierre del casco.</w:t>
            </w:r>
          </w:p>
        </w:tc>
        <w:tc>
          <w:tcPr>
            <w:tcW w:w="1500" w:type="dxa"/>
            <w:shd w:val="clear" w:color="auto" w:fill="FFF4EE"/>
          </w:tcPr>
          <w:p>
            <w:pPr>
              <w:jc w:val="right"/>
            </w:pPr>
            <w:r>
              <w:rPr>
                <w:b/>
                <w:sz w:val="20"/>
              </w:rPr>
              <w:t>128,000.00</w:t>
            </w:r>
          </w:p>
        </w:tc>
        <w:tc>
          <w:tcPr>
            <w:tcW w:w="1200" w:type="dxa"/>
            <w:shd w:val="clear" w:color="auto" w:fill="FFF4EE"/>
          </w:tcPr>
          <w:p>
            <w:pPr>
              <w:jc w:val="right"/>
            </w:pPr>
            <w:r>
              <w:rPr>
                <w:b/>
                <w:sz w:val="20"/>
              </w:rPr>
              <w:t>40.00 %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300" w:type="dxa"/>
          </w:tcPr>
          <w:p>
            <w:r>
              <w:rPr>
                <w:b/>
                <w:sz w:val="20"/>
              </w:rPr>
              <w:t>1.ª Armada</w:t>
            </w:r>
          </w:p>
        </w:tc>
        <w:tc>
          <w:tcPr>
            <w:tcW w:w="2372" w:type="dxa"/>
          </w:tcPr>
          <w:p>
            <w:r>
              <w:rPr>
                <w:sz w:val="20"/>
              </w:rPr>
              <w:t>Junio de 2027.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b/>
                <w:sz w:val="20"/>
              </w:rPr>
              <w:t>48,000.00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20"/>
              </w:rPr>
              <w:t>15.00 %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300" w:type="dxa"/>
          </w:tcPr>
          <w:p>
            <w:r>
              <w:rPr>
                <w:b/>
                <w:sz w:val="20"/>
              </w:rPr>
              <w:t>2.ª Armada</w:t>
            </w:r>
          </w:p>
        </w:tc>
        <w:tc>
          <w:tcPr>
            <w:tcW w:w="2372" w:type="dxa"/>
          </w:tcPr>
          <w:p>
            <w:r>
              <w:rPr>
                <w:sz w:val="20"/>
              </w:rPr>
              <w:t>Agosto de 2027.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b/>
                <w:sz w:val="20"/>
              </w:rPr>
              <w:t>48,000.00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20"/>
              </w:rPr>
              <w:t>15.00 %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3300" w:type="dxa"/>
          </w:tcPr>
          <w:p>
            <w:r>
              <w:rPr>
                <w:b/>
                <w:sz w:val="20"/>
              </w:rPr>
              <w:t>3.ª Armada</w:t>
            </w:r>
          </w:p>
        </w:tc>
        <w:tc>
          <w:tcPr>
            <w:tcW w:w="2372" w:type="dxa"/>
          </w:tcPr>
          <w:p>
            <w:r>
              <w:rPr>
                <w:sz w:val="20"/>
              </w:rPr>
              <w:t>Octubre de 2027.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b/>
                <w:sz w:val="20"/>
              </w:rPr>
              <w:t>48,000.00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20"/>
              </w:rPr>
              <w:t>15.00 %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3300" w:type="dxa"/>
          </w:tcPr>
          <w:p>
            <w:r>
              <w:rPr>
                <w:b/>
                <w:sz w:val="20"/>
              </w:rPr>
              <w:t>4.ª Armada (contra entrega)</w:t>
            </w:r>
          </w:p>
        </w:tc>
        <w:tc>
          <w:tcPr>
            <w:tcW w:w="2372" w:type="dxa"/>
          </w:tcPr>
          <w:p>
            <w:r>
              <w:rPr>
                <w:sz w:val="20"/>
              </w:rPr>
              <w:t>Diciembre de 2027.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b/>
                <w:sz w:val="20"/>
              </w:rPr>
              <w:t>48,000.00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20"/>
              </w:rPr>
              <w:t>15.00 %</w:t>
            </w:r>
          </w:p>
        </w:tc>
      </w:tr>
      <w:tr>
        <w:tc>
          <w:tcPr>
            <w:tcW w:w="700" w:type="dxa"/>
            <w:shd w:val="clear" w:color="auto" w:fill="FFF4EE"/>
          </w:tcPr>
          <w:p>
            <w:pPr>
              <w:jc w:val="center"/>
            </w:pPr>
            <w:r>
              <w:rPr>
                <w:b/>
                <w:sz w:val="20"/>
              </w:rPr>
              <w:t>=</w:t>
            </w:r>
          </w:p>
        </w:tc>
        <w:tc>
          <w:tcPr>
            <w:tcW w:w="3300" w:type="dxa"/>
            <w:shd w:val="clear" w:color="auto" w:fill="FFF4EE"/>
          </w:tcPr>
          <w:p>
            <w:r>
              <w:rPr>
                <w:b/>
                <w:sz w:val="20"/>
              </w:rPr>
              <w:t>Subtotal saldo (60% en 4 armadas)</w:t>
            </w:r>
          </w:p>
        </w:tc>
        <w:tc>
          <w:tcPr>
            <w:tcW w:w="2372" w:type="dxa"/>
            <w:shd w:val="clear" w:color="auto" w:fill="FFF4EE"/>
          </w:tcPr>
          <w:p>
            <w:r>
              <w:rPr>
                <w:sz w:val="20"/>
              </w:rPr>
              <w:t>Jun 2027 a Dic 2027.</w:t>
            </w:r>
          </w:p>
        </w:tc>
        <w:tc>
          <w:tcPr>
            <w:tcW w:w="1500" w:type="dxa"/>
            <w:shd w:val="clear" w:color="auto" w:fill="FFF4EE"/>
          </w:tcPr>
          <w:p>
            <w:pPr>
              <w:jc w:val="right"/>
            </w:pPr>
            <w:r>
              <w:rPr>
                <w:b/>
                <w:sz w:val="20"/>
              </w:rPr>
              <w:t>192,000.00</w:t>
            </w:r>
          </w:p>
        </w:tc>
        <w:tc>
          <w:tcPr>
            <w:tcW w:w="1200" w:type="dxa"/>
            <w:shd w:val="clear" w:color="auto" w:fill="FFF4EE"/>
          </w:tcPr>
          <w:p>
            <w:pPr>
              <w:jc w:val="right"/>
            </w:pPr>
            <w:r>
              <w:rPr>
                <w:b/>
                <w:sz w:val="20"/>
              </w:rPr>
              <w:t>60.00 %</w:t>
            </w:r>
          </w:p>
        </w:tc>
      </w:tr>
      <w:tr>
        <w:tc>
          <w:tcPr>
            <w:tcW w:w="700" w:type="dxa"/>
            <w:shd w:val="clear" w:color="auto" w:fill="0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$</w:t>
            </w:r>
          </w:p>
        </w:tc>
        <w:tc>
          <w:tcPr>
            <w:tcW w:w="3300" w:type="dxa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PRECIO TOTAL DEL INMUEBLE</w:t>
            </w:r>
          </w:p>
        </w:tc>
        <w:tc>
          <w:tcPr>
            <w:tcW w:w="2372" w:type="dxa"/>
            <w:shd w:val="clear" w:color="auto" w:fill="000000"/>
          </w:tcPr>
          <w:p>
            <w:r>
              <w:rPr>
                <w:color w:val="FFFFFF"/>
                <w:sz w:val="20"/>
              </w:rPr>
              <w:t>Jun 2026 a Dic 2027.</w:t>
            </w:r>
          </w:p>
        </w:tc>
        <w:tc>
          <w:tcPr>
            <w:tcW w:w="1500" w:type="dxa"/>
            <w:shd w:val="clear" w:color="auto" w:fill="000000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320,000.00</w:t>
            </w:r>
          </w:p>
        </w:tc>
        <w:tc>
          <w:tcPr>
            <w:tcW w:w="1200" w:type="dxa"/>
            <w:shd w:val="clear" w:color="auto" w:fill="000000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100.00 %</w:t>
            </w:r>
          </w:p>
        </w:tc>
      </w:tr>
    </w:tbl>
    <w:p>
      <w:pPr>
        <w:keepNext/>
        <w:keepLines/>
        <w:spacing w:before="360" w:after="120"/>
      </w:pPr>
      <w:r>
        <w:rPr>
          <w:b/>
          <w:sz w:val="24"/>
          <w:color w:val="EA5A29"/>
        </w:rPr>
        <w:t>3. CONDICIONES GENERALES</w:t>
      </w:r>
    </w:p>
    <w:p>
      <w:pPr>
        <w:keepLines/>
        <w:spacing w:before="80" w:after="80"/>
        <w:ind w:left="360" w:hanging="360"/>
        <w:jc w:val="both"/>
      </w:pPr>
      <w:r>
        <w:rPr>
          <w:b/>
          <w:sz w:val="22"/>
        </w:rPr>
        <w:t xml:space="preserve">3.1  @@LBL31@@ </w:t>
      </w:r>
      <w:r>
        <w:rPr>
          <w:sz w:val="22"/>
        </w:rPr>
        <w:t>@@BODY31@@</w:t>
      </w:r>
    </w:p>
    <w:p>
      <w:pPr>
        <w:keepLines/>
        <w:spacing w:before="80" w:after="80"/>
        <w:ind w:left="360" w:hanging="360"/>
        <w:jc w:val="both"/>
      </w:pPr>
      <w:r>
        <w:rPr>
          <w:b/>
          <w:sz w:val="22"/>
        </w:rPr>
        <w:t xml:space="preserve">3.2  Formalización: </w:t>
      </w:r>
      <w:r>
        <w:rPr>
          <w:sz w:val="22"/>
        </w:rPr>
        <w:t>la compraventa se celebra mediante Contrato de Compraventa de Bien Futuro ante Notario Público de Lima. La transferencia se inscribe en Registros Públicos a favor del comprador una vez independizada la unidad y cancelado el precio total.</w:t>
      </w:r>
    </w:p>
    <w:p>
      <w:pPr>
        <w:keepLines/>
        <w:spacing w:before="80" w:after="80"/>
        <w:ind w:left="360" w:hanging="360"/>
        <w:jc w:val="both"/>
      </w:pPr>
      <w:r>
        <w:rPr>
          <w:b/>
          <w:sz w:val="22"/>
        </w:rPr>
        <w:t xml:space="preserve">3.3  Reserva de dominio: </w:t>
      </w:r>
      <w:r>
        <w:rPr>
          <w:sz w:val="22"/>
        </w:rPr>
        <w:t>LA HAUS conserva la propiedad del inmueble hasta la cancelación total del precio. La transferencia definitiva se otorga con el pago de la última armada y entrega del inmueble.</w:t>
      </w:r>
    </w:p>
    <w:p>
      <w:pPr>
        <w:keepLines/>
        <w:spacing w:before="80" w:after="80"/>
        <w:ind w:left="360" w:hanging="360"/>
        <w:jc w:val="both"/>
      </w:pPr>
      <w:r>
        <w:rPr>
          <w:b/>
          <w:sz w:val="22"/>
        </w:rPr>
        <w:t xml:space="preserve">3.4  Amortizaciones extraordinarias: </w:t>
      </w:r>
      <w:r>
        <w:rPr>
          <w:sz w:val="22"/>
        </w:rPr>
        <w:t>la clienta podrá adelantar el pago de cualquier armada, sin penalidad alguna.</w:t>
      </w:r>
    </w:p>
    <w:p>
      <w:pPr>
        <w:keepLines/>
        <w:spacing w:before="80" w:after="80"/>
        <w:ind w:left="360" w:hanging="360"/>
        <w:jc w:val="both"/>
      </w:pPr>
      <w:r>
        <w:rPr>
          <w:b/>
          <w:sz w:val="22"/>
        </w:rPr>
        <w:t xml:space="preserve">3.5  Acabados garantizados: </w:t>
      </w:r>
      <w:r>
        <w:rPr>
          <w:sz w:val="22"/>
        </w:rPr>
        <w:t>el inmueble se entregará conforme al Catálogo de Acabados Garantizados de VIVA PRO, anexo a la presente.</w:t>
      </w:r>
    </w:p>
    <w:p>
      <w:pPr>
        <w:keepLines/>
        <w:spacing w:before="80" w:after="80"/>
        <w:ind w:left="360" w:hanging="360"/>
        <w:jc w:val="both"/>
      </w:pPr>
      <w:r>
        <w:rPr>
          <w:b/>
          <w:sz w:val="22"/>
        </w:rPr>
        <w:t xml:space="preserve">3.6  Vigencia: </w:t>
      </w:r>
      <w:r>
        <w:rPr>
          <w:sz w:val="22"/>
        </w:rPr>
        <w:t>la presente propuesta tiene una vigencia de cinco (05) días calendario desde su emisión.</w:t>
      </w:r>
    </w:p>
    <w:p>
      <w:pPr>
        <w:keepLines/>
        <w:spacing w:before="360" w:after="200"/>
        <w:jc w:val="both"/>
      </w:pPr>
      <w:r>
        <w:rPr>
          <w:sz w:val="22"/>
        </w:rPr>
        <w:t>Estimada Sra. Caballero, quedamos a su entera disposición para cualquier consulta o ajuste, y agradecidos por la confianza depositada en LA HAUS para acompañarla en la adquisición de su nuevo hogar.</w:t>
      </w:r>
    </w:p>
    <w:p>
      <w:pPr>
        <w:keepLines/>
        <w:spacing w:before="120" w:after="200"/>
        <w:jc w:val="both"/>
      </w:pPr>
      <w:r>
        <w:rPr>
          <w:sz w:val="22"/>
        </w:rPr>
        <w:t>Atentamente,</w:t>
      </w:r>
    </w:p>
    <w:p>
      <w:pPr>
        <w:keepLines/>
        <w:spacing w:before="600" w:after="0"/>
      </w:pPr>
      <w:r>
        <w:rPr>
          <w:sz w:val="22"/>
        </w:rPr>
        <w:t>_______________________________________</w:t>
      </w:r>
    </w:p>
    <w:p>
      <w:pPr>
        <w:keepLines/>
        <w:spacing w:before="0" w:after="0"/>
      </w:pPr>
      <w:r>
        <w:rPr>
          <w:b/>
          <w:sz w:val="22"/>
        </w:rPr>
        <w:t>Paul Steven Acosta Arce</w:t>
      </w:r>
    </w:p>
    <w:p>
      <w:pPr>
        <w:keepLines/>
        <w:spacing w:before="0" w:after="0"/>
      </w:pPr>
      <w:r>
        <w:rPr>
          <w:sz w:val="20"/>
          <w:color w:val="666666"/>
        </w:rPr>
        <w:t>Gerente General</w:t>
      </w:r>
    </w:p>
    <w:p>
      <w:pPr>
        <w:keepLines/>
        <w:spacing w:before="0" w:after="0"/>
      </w:pPr>
      <w:r>
        <w:rPr>
          <w:sz w:val="20"/>
          <w:color w:val="666666"/>
        </w:rPr>
        <w:t>LA HAUS CONSTRUCTORA S.A.C. — Proyecto VIVA PRO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948" w:right="1417" w:bottom="2154" w:left="14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-1417" w:right="0"/>
      <w:jc w:val="left"/>
    </w:pPr>
    <w:r>
      <w:drawing>
        <wp:inline xmlns:a="http://schemas.openxmlformats.org/drawingml/2006/main" xmlns:pic="http://schemas.openxmlformats.org/drawingml/2006/picture">
          <wp:extent cx="7560000" cy="17070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haus_footer_acogep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707097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1417" w:right="0"/>
      <w:jc w:val="left"/>
    </w:pPr>
    <w:r>
      <w:drawing>
        <wp:inline xmlns:a="http://schemas.openxmlformats.org/drawingml/2006/main" xmlns:pic="http://schemas.openxmlformats.org/drawingml/2006/picture">
          <wp:extent cx="7560000" cy="2743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haus_header_acogep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2743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ACOGEPP-style – LA HAUS</dc:title>
  <dc:subject/>
  <dc:creator>LA HAUS CONSTRUCTORA S.A.C.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