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0"/>
        <w:jc w:val="right"/>
      </w:pPr>
      <w:r>
        <w:rPr>
          <w:sz w:val="20"/>
          <w:color w:val="666666"/>
        </w:rPr>
        <w:t>Lima, 11 de junio de 2026</w:t>
      </w:r>
    </w:p>
    <w:p>
      <w:pPr>
        <w:spacing w:before="0" w:after="240"/>
        <w:jc w:val="right"/>
      </w:pPr>
      <w:r>
        <w:rPr>
          <w:sz w:val="18"/>
          <w:color w:val="888888"/>
        </w:rPr>
        <w:t>Ref.: PROP-VP-203-2026-01B</w:t>
      </w:r>
    </w:p>
    <w:p>
      <w:pPr>
        <w:spacing w:before="120" w:after="0"/>
      </w:pPr>
      <w:r>
        <w:rPr>
          <w:b/>
          <w:sz w:val="22"/>
        </w:rPr>
        <w:t>Señora:</w:t>
      </w:r>
    </w:p>
    <w:p>
      <w:pPr>
        <w:spacing w:before="0" w:after="0"/>
      </w:pPr>
      <w:r>
        <w:rPr>
          <w:b/>
          <w:sz w:val="22"/>
        </w:rPr>
        <w:t>YADIRA LISSET CABALLERO NOEL</w:t>
      </w:r>
    </w:p>
    <w:p>
      <w:pPr>
        <w:spacing w:before="0" w:after="0"/>
      </w:pPr>
      <w:r>
        <w:rPr>
          <w:sz w:val="20"/>
          <w:color w:val="666666"/>
        </w:rPr>
        <w:t>DNI: 44578531 — Estado civil: Soltera</w:t>
      </w:r>
    </w:p>
    <w:p>
      <w:pPr>
        <w:spacing w:before="0" w:after="240"/>
      </w:pPr>
      <w:r>
        <w:rPr>
          <w:sz w:val="20"/>
          <w:color w:val="666666"/>
        </w:rPr>
        <w:t>Presente.—</w:t>
      </w:r>
    </w:p>
    <w:p>
      <w:pPr>
        <w:spacing w:before="120" w:after="200"/>
      </w:pPr>
      <w:r>
        <w:rPr>
          <w:b/>
          <w:sz w:val="22"/>
        </w:rPr>
        <w:t xml:space="preserve">Asunto: </w:t>
      </w:r>
      <w:r>
        <w:rPr>
          <w:sz w:val="22"/>
        </w:rPr>
        <w:t>Propuesta comercial formal — Opción B — Departamento 203, Edificio VIVA PRO (50% directo + 50% crédito hipotecario contra entrega).</w:t>
      </w:r>
    </w:p>
    <w:p>
      <w:pPr>
        <w:spacing w:before="120" w:after="200"/>
        <w:jc w:val="both"/>
      </w:pPr>
      <w:r>
        <w:rPr>
          <w:sz w:val="22"/>
        </w:rPr>
        <w:t xml:space="preserve">Estimada Sra. Caballero: </w:t>
      </w:r>
    </w:p>
    <w:p>
      <w:pPr>
        <w:spacing w:before="0" w:after="240"/>
        <w:jc w:val="both"/>
      </w:pPr>
      <w:r>
        <w:rPr>
          <w:sz w:val="22"/>
        </w:rPr>
        <w:t xml:space="preserve">Por medio de la presente, </w:t>
      </w:r>
      <w:r>
        <w:rPr>
          <w:b/>
          <w:sz w:val="22"/>
        </w:rPr>
        <w:t>LA HAUS CONSTRUCTORA S.A.C.</w:t>
      </w:r>
      <w:r>
        <w:rPr>
          <w:sz w:val="22"/>
        </w:rPr>
        <w:t xml:space="preserve"> (RUC 20611277211), promotora del proyecto inmobiliario </w:t>
      </w:r>
      <w:r>
        <w:rPr>
          <w:b/>
          <w:sz w:val="22"/>
        </w:rPr>
        <w:t>VIVA PRO</w:t>
      </w:r>
      <w:r>
        <w:rPr>
          <w:sz w:val="22"/>
        </w:rPr>
        <w:t xml:space="preserve">, tiene el agrado de presentarle la </w:t>
      </w:r>
      <w:r>
        <w:rPr>
          <w:b/>
          <w:sz w:val="22"/>
        </w:rPr>
        <w:t>Opción B</w:t>
      </w:r>
      <w:r>
        <w:rPr>
          <w:sz w:val="22"/>
        </w:rPr>
        <w:t xml:space="preserve"> para la adquisición del </w:t>
      </w:r>
      <w:r>
        <w:rPr>
          <w:b/>
          <w:sz w:val="22"/>
        </w:rPr>
        <w:t>Departamento 203</w:t>
      </w:r>
      <w:r>
        <w:rPr>
          <w:sz w:val="22"/>
        </w:rPr>
        <w:t>, bajo un esquema mixto: 50% del precio cancelado directamente a LA HAUS en aportes fraccionados durante la construcción, y el 50% restante mediante crédito hipotecario contra entrega del inmueble.</w:t>
      </w:r>
    </w:p>
    <w:p>
      <w:pPr>
        <w:spacing w:before="240" w:after="120"/>
      </w:pPr>
      <w:r>
        <w:rPr>
          <w:b/>
          <w:sz w:val="24"/>
          <w:color w:val="EA5A29"/>
        </w:rPr>
        <w:t>1. DATOS DEL INMUEBLE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4"/>
        <w:gridCol w:w="6048"/>
      </w:tblGrid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Proyecto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Edificio VIVA PRO — Los Olivos, Lima.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Unidad inmobiliaria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Departamento N.° 203, Piso 2.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Tipología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3 dormitorios (3D-A) — 76 m² de área techada.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Precio negociado</w:t>
            </w:r>
          </w:p>
        </w:tc>
        <w:tc>
          <w:tcPr>
            <w:tcW w:w="6048" w:type="dxa"/>
          </w:tcPr>
          <w:p>
            <w:r>
              <w:rPr>
                <w:b/>
                <w:sz w:val="20"/>
              </w:rPr>
              <w:t>@@PRECIO_DUAL@@</w:t>
            </w:r>
            <w:r>
              <w:rPr>
                <w:sz w:val="20"/>
              </w:rPr>
              <w:t/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Inicio de construcción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Julio de 2026.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Casco terminado (referencial)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Abril de 2027.</w:t>
            </w:r>
          </w:p>
        </w:tc>
      </w:tr>
      <w:tr>
        <w:tc>
          <w:tcPr>
            <w:tcW w:w="3024" w:type="dxa"/>
            <w:shd w:val="clear" w:color="auto" w:fill="F2F2F2"/>
          </w:tcPr>
          <w:p>
            <w:r>
              <w:rPr>
                <w:b/>
                <w:sz w:val="20"/>
              </w:rPr>
              <w:t>Entrega proyectada</w:t>
            </w:r>
          </w:p>
        </w:tc>
        <w:tc>
          <w:tcPr>
            <w:tcW w:w="6048" w:type="dxa"/>
          </w:tcPr>
          <w:p>
            <w:r>
              <w:rPr>
                <w:sz w:val="20"/>
              </w:rPr>
              <w:t>Diciembre de 2027.</w:t>
            </w:r>
          </w:p>
        </w:tc>
      </w:tr>
    </w:tbl>
    <w:p>
      <w:pPr>
        <w:spacing w:before="360" w:after="120"/>
      </w:pPr>
      <w:r>
        <w:rPr>
          <w:b/>
          <w:sz w:val="24"/>
          <w:color w:val="EA5A29"/>
        </w:rPr>
        <w:t>2. ESTRUCTURA DE PAGO — OPCIÓN B (MIXTA CON HIPOTECARIO)</w:t>
      </w:r>
    </w:p>
    <w:p>
      <w:pPr>
        <w:spacing w:before="0" w:after="200"/>
        <w:jc w:val="both"/>
      </w:pPr>
      <w:r>
        <w:rPr>
          <w:sz w:val="22"/>
        </w:rPr>
        <w:t>El 50% del precio se cancela directamente a LA HAUS en aportes fraccionados durante la construcción, y el 50% restante se desembolsa al momento de la entrega mediante crédito hipotecario que la clienta tramitará con el banco de su elección:</w:t>
      </w:r>
    </w:p>
    <w:tbl>
      <w:tblPr>
        <w:tblW w:w="9072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00"/>
        <w:gridCol w:w="3300"/>
        <w:gridCol w:w="2372"/>
        <w:gridCol w:w="1500"/>
        <w:gridCol w:w="1200"/>
      </w:tblGrid>
      <w:tr>
        <w:trPr>
          <w:tblHeader/>
        </w:trPr>
        <w:tc>
          <w:tcPr>
            <w:tcW w:w="700" w:type="dxa"/>
            <w:shd w:val="clear" w:color="auto" w:fill="EA5A2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00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372" w:type="dxa"/>
            <w:shd w:val="clear" w:color="auto" w:fill="EA5A29"/>
          </w:tcPr>
          <w:p>
            <w:r>
              <w:rPr>
                <w:b/>
                <w:color w:val="FFFFFF"/>
                <w:sz w:val="18"/>
              </w:rPr>
              <w:t>Fecha de pago</w:t>
            </w:r>
          </w:p>
        </w:tc>
        <w:tc>
          <w:tcPr>
            <w:tcW w:w="1500" w:type="dxa"/>
            <w:shd w:val="clear" w:color="auto" w:fill="EA5A2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Monto (S/)</w:t>
            </w:r>
          </w:p>
        </w:tc>
        <w:tc>
          <w:tcPr>
            <w:tcW w:w="1200" w:type="dxa"/>
            <w:shd w:val="clear" w:color="auto" w:fill="EA5A29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% precio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Separación</w:t>
            </w:r>
          </w:p>
          <w:p>
            <w:r>
              <w:rPr>
                <w:sz w:val="18"/>
                <w:color w:val="666666"/>
              </w:rPr>
              <w:t>US$ 1,000.00 (a cuenta del 20% de la firma)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A la suscripción de la presente (junio 2026).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3,500.00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1.09 %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Saldo del 20% a la firma del Contrato de Bien Futuro (notaría)</w:t>
            </w:r>
          </w:p>
          <w:p>
            <w:r>
              <w:rPr>
                <w:sz w:val="18"/>
                <w:color w:val="666666"/>
              </w:rPr>
              <w:t>S/ 64,000 menos separación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A la firma del contrato (junio 2026).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60,500.00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18.91 %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20% al término del casco</w:t>
            </w:r>
          </w:p>
          <w:p>
            <w:r>
              <w:rPr>
                <w:sz w:val="18"/>
                <w:color w:val="666666"/>
              </w:rPr>
              <w:t>Pago contra hito de obra: casco terminado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Abril de 2027.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64,000.00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20.00 %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10% aporte adicional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Febrero de 2027.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32,000.00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10.00 %</w:t>
            </w:r>
          </w:p>
        </w:tc>
      </w:tr>
      <w:tr>
        <w:tc>
          <w:tcPr>
            <w:tcW w:w="700" w:type="dxa"/>
            <w:shd w:val="clear" w:color="auto" w:fill="FFF4EE"/>
          </w:tcPr>
          <w:p>
            <w:pPr>
              <w:jc w:val="center"/>
            </w:pPr>
            <w:r>
              <w:rPr>
                <w:b/>
                <w:sz w:val="20"/>
              </w:rPr>
              <w:t>=</w:t>
            </w:r>
          </w:p>
        </w:tc>
        <w:tc>
          <w:tcPr>
            <w:tcW w:w="3300" w:type="dxa"/>
            <w:shd w:val="clear" w:color="auto" w:fill="FFF4EE"/>
          </w:tcPr>
          <w:p>
            <w:r>
              <w:rPr>
                <w:b/>
                <w:sz w:val="20"/>
              </w:rPr>
              <w:t>Subtotal aporte directo de la clienta (50%)</w:t>
            </w:r>
          </w:p>
        </w:tc>
        <w:tc>
          <w:tcPr>
            <w:tcW w:w="2372" w:type="dxa"/>
            <w:shd w:val="clear" w:color="auto" w:fill="FFF4EE"/>
          </w:tcPr>
          <w:p>
            <w:r>
              <w:rPr>
                <w:sz w:val="20"/>
              </w:rPr>
              <w:t>Hasta febrero de 2027.</w:t>
            </w:r>
          </w:p>
        </w:tc>
        <w:tc>
          <w:tcPr>
            <w:tcW w:w="1500" w:type="dxa"/>
            <w:shd w:val="clear" w:color="auto" w:fill="FFF4EE"/>
          </w:tcPr>
          <w:p>
            <w:pPr>
              <w:jc w:val="right"/>
            </w:pPr>
            <w:r>
              <w:rPr>
                <w:b/>
                <w:sz w:val="20"/>
              </w:rPr>
              <w:t>160,000.00</w:t>
            </w:r>
          </w:p>
        </w:tc>
        <w:tc>
          <w:tcPr>
            <w:tcW w:w="1200" w:type="dxa"/>
            <w:shd w:val="clear" w:color="auto" w:fill="FFF4EE"/>
          </w:tcPr>
          <w:p>
            <w:pPr>
              <w:jc w:val="right"/>
            </w:pPr>
            <w:r>
              <w:rPr>
                <w:b/>
                <w:sz w:val="20"/>
              </w:rPr>
              <w:t>50.00 %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300" w:type="dxa"/>
          </w:tcPr>
          <w:p>
            <w:r>
              <w:rPr>
                <w:b/>
                <w:sz w:val="20"/>
              </w:rPr>
              <w:t>Saldo con crédito hipotecario</w:t>
            </w:r>
          </w:p>
          <w:p>
            <w:r>
              <w:rPr>
                <w:sz w:val="18"/>
                <w:color w:val="666666"/>
              </w:rPr>
              <w:t>Tasa, plazo y cuota mensual los define la clienta con su banco</w:t>
            </w:r>
          </w:p>
        </w:tc>
        <w:tc>
          <w:tcPr>
            <w:tcW w:w="2372" w:type="dxa"/>
          </w:tcPr>
          <w:p>
            <w:r>
              <w:rPr>
                <w:sz w:val="20"/>
              </w:rPr>
              <w:t>Diciembre de 2027 (contra entrega).</w:t>
            </w:r>
          </w:p>
        </w:tc>
        <w:tc>
          <w:tcPr>
            <w:tcW w:w="1500" w:type="dxa"/>
          </w:tcPr>
          <w:p>
            <w:pPr>
              <w:jc w:val="right"/>
            </w:pPr>
            <w:r>
              <w:rPr>
                <w:b/>
                <w:sz w:val="20"/>
              </w:rPr>
              <w:t>160,000.00</w:t>
            </w:r>
          </w:p>
        </w:tc>
        <w:tc>
          <w:tcPr>
            <w:tcW w:w="1200" w:type="dxa"/>
          </w:tcPr>
          <w:p>
            <w:pPr>
              <w:jc w:val="right"/>
            </w:pPr>
            <w:r>
              <w:rPr>
                <w:sz w:val="20"/>
              </w:rPr>
              <w:t>50.00 %</w:t>
            </w:r>
          </w:p>
        </w:tc>
      </w:tr>
      <w:tr>
        <w:tc>
          <w:tcPr>
            <w:tcW w:w="700" w:type="dxa"/>
            <w:shd w:val="clear" w:color="auto" w:fill="0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$</w:t>
            </w:r>
          </w:p>
        </w:tc>
        <w:tc>
          <w:tcPr>
            <w:tcW w:w="3300" w:type="dxa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PRECIO TOTAL DEL INMUEBLE</w:t>
            </w:r>
          </w:p>
        </w:tc>
        <w:tc>
          <w:tcPr>
            <w:tcW w:w="2372" w:type="dxa"/>
            <w:shd w:val="clear" w:color="auto" w:fill="000000"/>
          </w:tcPr>
          <w:p>
            <w:r>
              <w:rPr>
                <w:color w:val="FFFFFF"/>
                <w:sz w:val="20"/>
              </w:rPr>
              <w:t>Jun 2026 a Dic 2027.</w:t>
            </w:r>
          </w:p>
        </w:tc>
        <w:tc>
          <w:tcPr>
            <w:tcW w:w="1500" w:type="dxa"/>
            <w:shd w:val="clear" w:color="auto" w:fill="000000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320,000.00</w:t>
            </w:r>
          </w:p>
        </w:tc>
        <w:tc>
          <w:tcPr>
            <w:tcW w:w="1200" w:type="dxa"/>
            <w:shd w:val="clear" w:color="auto" w:fill="000000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100.00 %</w:t>
            </w:r>
          </w:p>
        </w:tc>
      </w:tr>
    </w:tbl>
    <w:p>
      <w:pPr>
        <w:spacing w:before="160" w:after="120"/>
        <w:jc w:val="both"/>
      </w:pPr>
      <w:r>
        <w:rPr>
          <w:sz w:val="18"/>
          <w:color w:val="666666"/>
          <w:i/>
        </w:rPr>
        <w:t>El crédito hipotecario lo tramita la clienta con el banco de su elección; LA HAUS facilitará toda la documentación requerida por la entidad bancaria (proforma, valor de tasación, partida registral del proyecto, etc.).</w:t>
      </w:r>
    </w:p>
    <w:p>
      <w:pPr>
        <w:keepNext/>
        <w:keepLines/>
        <w:spacing w:before="360" w:after="120"/>
      </w:pPr>
      <w:r>
        <w:rPr>
          <w:b/>
          <w:sz w:val="24"/>
          <w:color w:val="EA5A29"/>
        </w:rPr>
        <w:t>3. CONDICIONES GENERALES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3.1  @@LBL31@@ </w:t>
      </w:r>
      <w:r>
        <w:rPr>
          <w:sz w:val="22"/>
        </w:rPr>
        <w:t>@@BODY31@@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3.2  Formalización: </w:t>
      </w:r>
      <w:r>
        <w:rPr>
          <w:sz w:val="22"/>
        </w:rPr>
        <w:t>la compraventa se celebra mediante Contrato de Compraventa de Bien Futuro ante Notario Público de Lima. La transferencia se inscribe en Registros Públicos a favor del comprador una vez independizada la unidad y cancelado el precio total.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3.3  Trámite del crédito hipotecario: </w:t>
      </w:r>
      <w:r>
        <w:rPr>
          <w:sz w:val="22"/>
        </w:rPr>
        <w:t>la clienta se compromete a iniciar la evaluación crediticia con el banco de su elección a más tardar en marzo de 2027, a fin de garantizar el desembolso oportuno al momento de la entrega del inmueble (diciembre de 2027). LA HAUS entregará toda la documentación que la entidad bancaria solicite.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3.4  Beneficios bancarios: </w:t>
      </w:r>
      <w:r>
        <w:rPr>
          <w:sz w:val="22"/>
        </w:rPr>
        <w:t>la clienta podrá acogerse, de ser elegible, al Bono del Buen Pagador (BBP) y/o a los beneficios del Crédito Mivivienda, sujeto a calificación del banco.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3.5  Amortizaciones anticipadas: </w:t>
      </w:r>
      <w:r>
        <w:rPr>
          <w:sz w:val="22"/>
        </w:rPr>
        <w:t>la clienta podrá realizar pagos extraordinarios sin penalidad alguna, los cuales reducirán el saldo final a financiar vía banco.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3.6  Acabados garantizados: </w:t>
      </w:r>
      <w:r>
        <w:rPr>
          <w:sz w:val="22"/>
        </w:rPr>
        <w:t>el inmueble se entregará conforme al Catálogo de Acabados Garantizados de VIVA PRO, anexo a la presente.</w:t>
      </w:r>
    </w:p>
    <w:p>
      <w:pPr>
        <w:keepLines/>
        <w:spacing w:before="80" w:after="80"/>
        <w:ind w:left="360" w:hanging="360"/>
        <w:jc w:val="both"/>
      </w:pPr>
      <w:r>
        <w:rPr>
          <w:b/>
          <w:sz w:val="22"/>
        </w:rPr>
        <w:t xml:space="preserve">3.7  Vigencia: </w:t>
      </w:r>
      <w:r>
        <w:rPr>
          <w:sz w:val="22"/>
        </w:rPr>
        <w:t>la presente propuesta tiene una vigencia de cinco (05) días calendario desde su emisión.</w:t>
      </w:r>
    </w:p>
    <w:p>
      <w:pPr>
        <w:keepLines/>
        <w:spacing w:before="360" w:after="200"/>
        <w:jc w:val="both"/>
      </w:pPr>
      <w:r>
        <w:rPr>
          <w:sz w:val="22"/>
        </w:rPr>
        <w:t>Estimada Sra. Caballero, esta opción combina disciplina de pago durante la construcción con el respaldo del crédito hipotecario al final, lo que le permite distribuir la inversión y acceder a una cuota mensual cómoda a largo plazo. Quedamos a su disposición para cualquier consulta.</w:t>
      </w:r>
    </w:p>
    <w:p>
      <w:pPr>
        <w:keepLines/>
        <w:spacing w:before="120" w:after="200"/>
        <w:jc w:val="both"/>
      </w:pPr>
      <w:r>
        <w:rPr>
          <w:sz w:val="22"/>
        </w:rPr>
        <w:t>Atentamente,</w:t>
      </w:r>
    </w:p>
    <w:p>
      <w:pPr>
        <w:keepLines/>
        <w:spacing w:before="600" w:after="0"/>
      </w:pPr>
      <w:r>
        <w:rPr>
          <w:sz w:val="22"/>
        </w:rPr>
        <w:t>_______________________________________</w:t>
      </w:r>
    </w:p>
    <w:p>
      <w:pPr>
        <w:keepLines/>
        <w:spacing w:before="0" w:after="0"/>
      </w:pPr>
      <w:r>
        <w:rPr>
          <w:b/>
          <w:sz w:val="22"/>
        </w:rPr>
        <w:t>Paul Steven Acosta Arce</w:t>
      </w:r>
    </w:p>
    <w:p>
      <w:pPr>
        <w:keepLines/>
        <w:spacing w:before="0" w:after="0"/>
      </w:pPr>
      <w:r>
        <w:rPr>
          <w:sz w:val="20"/>
          <w:color w:val="666666"/>
        </w:rPr>
        <w:t>Gerente General</w:t>
      </w:r>
    </w:p>
    <w:p>
      <w:pPr>
        <w:keepLines/>
        <w:spacing w:before="0" w:after="0"/>
      </w:pPr>
      <w:r>
        <w:rPr>
          <w:sz w:val="20"/>
          <w:color w:val="666666"/>
        </w:rPr>
        <w:t>LA HAUS CONSTRUCTORA S.A.C. — Proyecto VIVA PRO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948" w:right="1417" w:bottom="2154" w:left="14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417" w:right="0"/>
      <w:jc w:val="left"/>
    </w:pPr>
    <w:r>
      <w:drawing>
        <wp:inline xmlns:a="http://schemas.openxmlformats.org/drawingml/2006/main" xmlns:pic="http://schemas.openxmlformats.org/drawingml/2006/picture">
          <wp:extent cx="7560000" cy="1707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haus_footer_acoge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70709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417" w:right="0"/>
      <w:jc w:val="left"/>
    </w:pPr>
    <w:r>
      <w:drawing>
        <wp:inline xmlns:a="http://schemas.openxmlformats.org/drawingml/2006/main" xmlns:pic="http://schemas.openxmlformats.org/drawingml/2006/picture">
          <wp:extent cx="7560000" cy="2743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haus_header_acogep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2743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ACOGEPP-style – LA HAUS</dc:title>
  <dc:subject/>
  <dc:creator>LA HAUS CONSTRUCTORA S.A.C.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