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center"/>
      </w:pPr>
      <w:r>
        <w:rPr>
          <w:b/>
          <w:sz w:val="32"/>
          <w:color w:val="EA5A29"/>
        </w:rPr>
        <w:t>FICHA TÉCNICA</w:t>
      </w:r>
    </w:p>
    <w:p>
      <w:pPr>
        <w:spacing w:before="0" w:after="40"/>
        <w:jc w:val="center"/>
      </w:pPr>
      <w:r>
        <w:rPr>
          <w:b/>
          <w:sz w:val="22"/>
        </w:rPr>
        <w:t>Departamento N° 203 (Unidad N° 05) — Edificio VIVA PRO</w:t>
      </w:r>
    </w:p>
    <w:p>
      <w:pPr>
        <w:spacing w:before="0" w:after="240"/>
        <w:jc w:val="center"/>
      </w:pPr>
      <w:r>
        <w:rPr>
          <w:i/>
          <w:sz w:val="18"/>
          <w:color w:val="666666"/>
        </w:rPr>
        <w:t>Piso 2 — Tipología 3D-A — 76 m²</w:t>
      </w:r>
    </w:p>
    <w:p>
      <w:pPr>
        <w:spacing w:before="200" w:after="120"/>
      </w:pPr>
      <w:r>
        <w:rPr>
          <w:b/>
          <w:sz w:val="22"/>
          <w:color w:val="EA5A29"/>
        </w:rPr>
        <w:t>1. DATOS GENERALES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800"/>
        <w:gridCol w:w="6272"/>
      </w:tblGrid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Edificio VIVA PRO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Calle 22, Manzana JJ5, Lote 45, Urbanización Pro Quinto Sector Primera Etapa, Los Olivos, Lima.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Unidad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Departamento N° 203 (Unidad N° 05).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Piso / Tipología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Piso 2 — Tipología 3D-A.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Área techada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76 m² (con tolerancia de variación de hasta 3% por tratarse de bien futuro).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Distribución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Sala-comedor, cocina, lavandería, tres (03) dormitorios y dos (02) baños.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Inicio de construcción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Julio de 2026.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Entrega proyectada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Diciembre de 2027.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2. DISTRIBUCIÓN DE AMBIENTES</w:t>
      </w:r>
    </w:p>
    <w:p>
      <w:pPr>
        <w:spacing w:before="0" w:after="0"/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700000" cy="4837500"/>
            <wp:docPr id="100" name="Plano de distribuc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plano_distribucion.jpeg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  <w:r>
        <w:rPr>
          <w:i/>
          <w:sz w:val="16"/>
          <w:color w:val="666666"/>
        </w:rPr>
        <w:t>Imagen referencial. La distribución y mobiliario son ilustrativos.</w:t>
      </w:r>
    </w:p>
    <w:p>
      <w:pPr>
        <w:spacing w:before="320" w:after="120"/>
      </w:pPr>
      <w:r>
        <w:rPr>
          <w:b/>
          <w:sz w:val="22"/>
          <w:color w:val="EA5A29"/>
        </w:rPr>
        <w:t>3. CUADRO DE ACABADOS POR AMBIENTE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200"/>
        <w:gridCol w:w="2400"/>
        <w:gridCol w:w="2400"/>
        <w:gridCol w:w="2072"/>
      </w:tblGrid>
      <w:tr>
        <w:trPr>
          <w:tblHeader/>
        </w:trPr>
        <w:tc>
          <w:tcPr>
            <w:tcW w:w="22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Piso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Pared</w:t>
            </w:r>
          </w:p>
        </w:tc>
        <w:tc>
          <w:tcPr>
            <w:tcW w:w="20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Equipamiento / accesorios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Sala-comedor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dicroicos; intercomunicador interior, voz y portero eléctrico.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integrada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Porcelanato.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decorativo; ventana de vidrio 6 mm sistema Nova.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Mezcladora monocomando de cocina Pratello o similar.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(mueble)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Cerámico; zócalo en madera.</w:t>
            </w:r>
          </w:p>
        </w:tc>
        <w:tc>
          <w:tcPr>
            <w:tcW w:w="2400" w:type="dxa"/>
          </w:tcPr>
          <w:p>
            <w:r>
              <w:rPr>
                <w:b/>
                <w:sz w:val="17"/>
                <w:color w:val="EA5A29"/>
              </w:rPr>
              <w:t>Mesa de cuarzo (tablero).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Mueble alto y bajo de melamine 18 mm; puertas secundarias contraplacadas con laminado cedro.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Andelli Buzos o similar; mezcladora monocomando lavatorio Pratello.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dormitorio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y monocomando de lavatorio.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Dormitorios secundarios (02)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Lavandería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Caño jardín estándar; lavadero de ropa.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4. SERVICIOS Y ÁREAS COMUNES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 principal con estructura de madera seca enchapada en MDF, en tono madera.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Puertas interiores con estructura de madera seca enchapada en MDF, pintadas en color blanco.</w:t>
      </w:r>
    </w:p>
    <w:p>
      <w:pPr>
        <w:spacing w:before="60" w:after="60"/>
        <w:ind w:left="360" w:hanging="180"/>
      </w:pPr>
      <w:r>
        <w:rPr>
          <w:sz w:val="18"/>
        </w:rPr>
        <w:t xml:space="preserve">•  Ascensor de pasajeros marca JV Ascensores S.A. o similar.</w:t>
      </w:r>
    </w:p>
    <w:p>
      <w:pPr>
        <w:spacing w:before="60" w:after="60"/>
        <w:ind w:left="360" w:hanging="180"/>
      </w:pPr>
      <w:r>
        <w:rPr>
          <w:sz w:val="18"/>
        </w:rPr>
        <w:t xml:space="preserve">•  Pasamanos de escalera en acero inoxidable.</w:t>
      </w:r>
    </w:p>
    <w:p>
      <w:pPr>
        <w:spacing w:before="80" w:after="40"/>
        <w:ind w:left="360" w:hanging="180"/>
      </w:pPr>
      <w:r>
        <w:rPr>
          <w:b/>
          <w:sz w:val="18"/>
        </w:rPr>
        <w:t xml:space="preserve">•  Servicios independientes por unidad: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Energía eléctrica: </w:t>
      </w:r>
      <w:r>
        <w:rPr>
          <w:sz w:val="17"/>
        </w:rPr>
        <w:t xml:space="preserve">medidor independiente suministrado por Enel Distribución Perú.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Agua: </w:t>
      </w:r>
      <w:r>
        <w:rPr>
          <w:sz w:val="17"/>
        </w:rPr>
        <w:t xml:space="preserve">contómetro (medidor) interno independiente por departamento.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Gas natural: </w:t>
      </w:r>
      <w:r>
        <w:rPr>
          <w:sz w:val="17"/>
        </w:rPr>
        <w:t xml:space="preserve">instalación con dos (02) puntos de salida ya instalados. La empresa concesionaria (Cálidda) facturará el costo de instalación a través del recibo mensual de servicio.</w:t>
      </w:r>
    </w:p>
    <w:p>
      <w:pPr>
        <w:spacing w:before="60" w:after="60"/>
        <w:ind w:left="360" w:hanging="180"/>
      </w:pPr>
      <w:r>
        <w:rPr>
          <w:sz w:val="18"/>
        </w:rPr>
        <w:t xml:space="preserve">•  Luces de emergencia en cochera, escalera, ingreso y hall de escalera; luminarias tipo LED.</w:t>
      </w:r>
    </w:p>
    <w:p>
      <w:pPr>
        <w:spacing w:before="60" w:after="60"/>
        <w:ind w:left="360" w:hanging="180"/>
      </w:pPr>
      <w:r>
        <w:rPr>
          <w:sz w:val="18"/>
        </w:rPr>
        <w:t xml:space="preserve">•  Cochera con piso de cemento pulido (no incluida en la presente unidad).</w:t>
      </w:r>
    </w:p>
    <w:p>
      <w:pPr>
        <w:spacing w:before="320" w:after="120"/>
        <w:jc w:val="both"/>
      </w:pPr>
      <w:r>
        <w:rPr>
          <w:i/>
          <w:sz w:val="16"/>
          <w:color w:val="666666"/>
        </w:rPr>
        <w:t>La presente ficha técnica tiene carácter referencial. Los acabados, marcas y modelos pueden ser sustituidos por otros de igual o superior calidad, sujeto a disponibilidad del mercado y a criterio del proyecto. El detalle definitivo se ratificará en el Catálogo de Acabados Garantizados de VIVA PRO, anexo al Contrato de Compraventa de Bien Futuro.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plano_distribucion.jpeg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