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A81" w:rsidRPr="002C7285" w:rsidRDefault="00637A81" w:rsidP="00DA6C43">
      <w:pPr>
        <w:jc w:val="center"/>
        <w:rPr>
          <w:b/>
          <w:sz w:val="32"/>
          <w:u w:val="single"/>
        </w:rPr>
      </w:pPr>
      <w:r w:rsidRPr="002C7285">
        <w:rPr>
          <w:b/>
          <w:sz w:val="32"/>
          <w:u w:val="single"/>
        </w:rPr>
        <w:t>PAGE</w:t>
      </w:r>
      <w:r w:rsidR="002C7285" w:rsidRPr="002C7285">
        <w:rPr>
          <w:b/>
          <w:sz w:val="32"/>
          <w:u w:val="single"/>
        </w:rPr>
        <w:t xml:space="preserve"> : </w:t>
      </w:r>
      <w:r w:rsidRPr="002C7285">
        <w:rPr>
          <w:b/>
          <w:sz w:val="32"/>
          <w:u w:val="single"/>
        </w:rPr>
        <w:t>SECTEUR PRIVE</w:t>
      </w:r>
    </w:p>
    <w:p w:rsidR="00DA6C43" w:rsidRPr="00DA6C43" w:rsidRDefault="00DA6C43" w:rsidP="00DA6C43">
      <w:pPr>
        <w:jc w:val="center"/>
        <w:rPr>
          <w:b/>
        </w:rPr>
      </w:pPr>
      <w:r w:rsidRPr="002539B2">
        <w:rPr>
          <w:b/>
          <w:highlight w:val="yellow"/>
        </w:rPr>
        <w:t>[</w:t>
      </w:r>
      <w:r w:rsidR="00D23A2E">
        <w:rPr>
          <w:b/>
          <w:highlight w:val="yellow"/>
        </w:rPr>
        <w:t>PIVATE</w:t>
      </w:r>
      <w:r w:rsidR="00AD5D01" w:rsidRPr="00AD5D01">
        <w:rPr>
          <w:b/>
          <w:highlight w:val="yellow"/>
        </w:rPr>
        <w:t>SECTOR</w:t>
      </w:r>
      <w:r w:rsidRPr="002539B2">
        <w:rPr>
          <w:b/>
          <w:highlight w:val="yellow"/>
        </w:rPr>
        <w:t>]</w:t>
      </w:r>
      <w:r w:rsidR="00AD5D01" w:rsidRPr="00AD5D01">
        <w:t xml:space="preserve"> </w:t>
      </w:r>
      <w:bookmarkStart w:id="0" w:name="_GoBack"/>
      <w:bookmarkEnd w:id="0"/>
    </w:p>
    <w:p w:rsidR="003B0F9C" w:rsidRPr="00DA6C43" w:rsidRDefault="00E8450B" w:rsidP="00DA6C43">
      <w:pPr>
        <w:jc w:val="center"/>
        <w:rPr>
          <w:b/>
        </w:rPr>
      </w:pPr>
      <w:r w:rsidRPr="00DA6C43">
        <w:rPr>
          <w:b/>
        </w:rPr>
        <w:t>TRANSLATE FOLLOWING KEYS NOTE INTO ENGLISH</w:t>
      </w:r>
    </w:p>
    <w:tbl>
      <w:tblPr>
        <w:tblStyle w:val="Grilledutableau"/>
        <w:tblW w:w="15330" w:type="dxa"/>
        <w:jc w:val="center"/>
        <w:tblLook w:val="04A0" w:firstRow="1" w:lastRow="0" w:firstColumn="1" w:lastColumn="0" w:noHBand="0" w:noVBand="1"/>
      </w:tblPr>
      <w:tblGrid>
        <w:gridCol w:w="8379"/>
        <w:gridCol w:w="6951"/>
      </w:tblGrid>
      <w:tr w:rsidR="002539B2" w:rsidRPr="006F5727" w:rsidTr="006569DC">
        <w:trPr>
          <w:jc w:val="center"/>
        </w:trPr>
        <w:tc>
          <w:tcPr>
            <w:tcW w:w="8379" w:type="dxa"/>
            <w:shd w:val="clear" w:color="auto" w:fill="C45911" w:themeFill="accent2" w:themeFillShade="BF"/>
          </w:tcPr>
          <w:p w:rsidR="002539B2" w:rsidRPr="002539B2" w:rsidRDefault="002539B2" w:rsidP="002539B2">
            <w:pPr>
              <w:jc w:val="center"/>
              <w:rPr>
                <w:b/>
                <w:color w:val="FFFFFF" w:themeColor="background1"/>
                <w:sz w:val="28"/>
              </w:rPr>
            </w:pPr>
            <w:r w:rsidRPr="002539B2">
              <w:rPr>
                <w:b/>
                <w:color w:val="FFFFFF" w:themeColor="background1"/>
                <w:sz w:val="28"/>
              </w:rPr>
              <w:t>FRANÇAIS</w:t>
            </w:r>
          </w:p>
        </w:tc>
        <w:tc>
          <w:tcPr>
            <w:tcW w:w="6951" w:type="dxa"/>
            <w:shd w:val="clear" w:color="auto" w:fill="C45911" w:themeFill="accent2" w:themeFillShade="BF"/>
          </w:tcPr>
          <w:p w:rsidR="002539B2" w:rsidRPr="002539B2" w:rsidRDefault="002539B2" w:rsidP="002539B2">
            <w:pPr>
              <w:jc w:val="center"/>
              <w:rPr>
                <w:b/>
                <w:color w:val="FFFFFF" w:themeColor="background1"/>
                <w:sz w:val="28"/>
              </w:rPr>
            </w:pPr>
            <w:r w:rsidRPr="002539B2">
              <w:rPr>
                <w:b/>
                <w:color w:val="FFFFFF" w:themeColor="background1"/>
                <w:sz w:val="28"/>
              </w:rPr>
              <w:t>ENGLISH</w:t>
            </w:r>
          </w:p>
        </w:tc>
      </w:tr>
      <w:tr w:rsidR="002539B2" w:rsidRPr="006F5727" w:rsidTr="006569DC">
        <w:trPr>
          <w:jc w:val="center"/>
        </w:trPr>
        <w:tc>
          <w:tcPr>
            <w:tcW w:w="8379" w:type="dxa"/>
          </w:tcPr>
          <w:p w:rsidR="002539B2" w:rsidRPr="006F5727" w:rsidRDefault="00D23A2E" w:rsidP="00913EF4">
            <w:pPr>
              <w:jc w:val="right"/>
              <w:rPr>
                <w:sz w:val="28"/>
              </w:rPr>
            </w:pPr>
            <w:proofErr w:type="spellStart"/>
            <w:r w:rsidRPr="00D23A2E">
              <w:rPr>
                <w:sz w:val="28"/>
              </w:rPr>
              <w:t>ANzVERGURE</w:t>
            </w:r>
            <w:proofErr w:type="spellEnd"/>
            <w:r w:rsidRPr="00D23A2E">
              <w:rPr>
                <w:sz w:val="28"/>
              </w:rPr>
              <w:t xml:space="preserve"> travail avec les entreprises du secteur privé.</w:t>
            </w:r>
          </w:p>
        </w:tc>
        <w:tc>
          <w:tcPr>
            <w:tcW w:w="6951" w:type="dxa"/>
          </w:tcPr>
          <w:p w:rsidR="002539B2" w:rsidRPr="006F5727" w:rsidRDefault="002539B2" w:rsidP="00913EF4">
            <w:pPr>
              <w:rPr>
                <w:rFonts w:ascii="Times New Roman" w:eastAsia="Times New Roman" w:hAnsi="Times New Roman" w:cs="Times New Roman"/>
                <w:sz w:val="28"/>
                <w:szCs w:val="24"/>
                <w:lang w:eastAsia="fr-FR"/>
              </w:rPr>
            </w:pPr>
          </w:p>
        </w:tc>
      </w:tr>
      <w:tr w:rsidR="006F5727" w:rsidRPr="006F5727" w:rsidTr="006569DC">
        <w:trPr>
          <w:jc w:val="center"/>
        </w:trPr>
        <w:tc>
          <w:tcPr>
            <w:tcW w:w="8379" w:type="dxa"/>
          </w:tcPr>
          <w:p w:rsidR="006F5727" w:rsidRPr="006F5727" w:rsidRDefault="00D23A2E" w:rsidP="006F5727">
            <w:pPr>
              <w:jc w:val="right"/>
              <w:rPr>
                <w:sz w:val="28"/>
              </w:rPr>
            </w:pPr>
            <w:r w:rsidRPr="00D23A2E">
              <w:rPr>
                <w:sz w:val="28"/>
              </w:rPr>
              <w:t>Dans les PME, les pratiques de gestion des Ressources Humaines sont peu ou pas développées et toujours attribués à un comptable ou un responsable Admin &amp; Fin ;</w:t>
            </w:r>
          </w:p>
        </w:tc>
        <w:tc>
          <w:tcPr>
            <w:tcW w:w="6951" w:type="dxa"/>
          </w:tcPr>
          <w:p w:rsidR="006F5727" w:rsidRPr="006F5727" w:rsidRDefault="006F5727" w:rsidP="00DA6C43">
            <w:pPr>
              <w:rPr>
                <w:sz w:val="28"/>
              </w:rPr>
            </w:pPr>
          </w:p>
        </w:tc>
      </w:tr>
      <w:tr w:rsidR="006F5727" w:rsidRPr="006F5727" w:rsidTr="006569DC">
        <w:trPr>
          <w:jc w:val="center"/>
        </w:trPr>
        <w:tc>
          <w:tcPr>
            <w:tcW w:w="8379" w:type="dxa"/>
          </w:tcPr>
          <w:p w:rsidR="006F5727" w:rsidRPr="006F5727" w:rsidRDefault="00D23A2E" w:rsidP="006F5727">
            <w:pPr>
              <w:jc w:val="right"/>
              <w:rPr>
                <w:sz w:val="28"/>
              </w:rPr>
            </w:pPr>
            <w:r w:rsidRPr="00D23A2E">
              <w:rPr>
                <w:sz w:val="28"/>
              </w:rPr>
              <w:t>La GRH apparaît au mieux comme un luxe, au pire comme une perte de temps inutile. Ce qui n’est pas vrai ;</w:t>
            </w:r>
          </w:p>
        </w:tc>
        <w:tc>
          <w:tcPr>
            <w:tcW w:w="6951" w:type="dxa"/>
          </w:tcPr>
          <w:p w:rsidR="006F5727" w:rsidRPr="006F5727" w:rsidRDefault="006F5727" w:rsidP="00DA6C43">
            <w:pPr>
              <w:rPr>
                <w:sz w:val="28"/>
              </w:rPr>
            </w:pPr>
          </w:p>
        </w:tc>
      </w:tr>
      <w:tr w:rsidR="006F5727" w:rsidRPr="006F5727" w:rsidTr="006569DC">
        <w:trPr>
          <w:jc w:val="center"/>
        </w:trPr>
        <w:tc>
          <w:tcPr>
            <w:tcW w:w="8379" w:type="dxa"/>
          </w:tcPr>
          <w:p w:rsidR="006F5727" w:rsidRPr="006F5727" w:rsidRDefault="00D23A2E" w:rsidP="006F5727">
            <w:pPr>
              <w:jc w:val="right"/>
              <w:rPr>
                <w:sz w:val="28"/>
              </w:rPr>
            </w:pPr>
            <w:r w:rsidRPr="00D23A2E">
              <w:rPr>
                <w:sz w:val="28"/>
              </w:rPr>
              <w:t>Dans les PME les relations sociales sont les plus intenses et les plus riches.  Donc nécessitent plus d’attention pour réduire les conflits et les anticiper ;</w:t>
            </w:r>
          </w:p>
        </w:tc>
        <w:tc>
          <w:tcPr>
            <w:tcW w:w="6951" w:type="dxa"/>
          </w:tcPr>
          <w:p w:rsidR="006F5727" w:rsidRPr="006F5727" w:rsidRDefault="006F5727" w:rsidP="00DA6C43">
            <w:pPr>
              <w:rPr>
                <w:rFonts w:ascii="Times New Roman" w:eastAsia="Times New Roman" w:hAnsi="Times New Roman" w:cs="Times New Roman"/>
                <w:sz w:val="28"/>
                <w:szCs w:val="24"/>
                <w:lang w:eastAsia="fr-FR"/>
              </w:rPr>
            </w:pPr>
          </w:p>
        </w:tc>
      </w:tr>
      <w:tr w:rsidR="006F5727" w:rsidRPr="006F5727" w:rsidTr="006569DC">
        <w:trPr>
          <w:jc w:val="center"/>
        </w:trPr>
        <w:tc>
          <w:tcPr>
            <w:tcW w:w="8379" w:type="dxa"/>
          </w:tcPr>
          <w:p w:rsidR="006F5727" w:rsidRPr="006F5727" w:rsidRDefault="00D23A2E" w:rsidP="006F5727">
            <w:pPr>
              <w:jc w:val="right"/>
              <w:rPr>
                <w:sz w:val="28"/>
              </w:rPr>
            </w:pPr>
            <w:r w:rsidRPr="00D23A2E">
              <w:rPr>
                <w:sz w:val="28"/>
              </w:rPr>
              <w:t>La prise en compte de la GRH par un spécialiste permet d’augmenter considérablement leur productivité et leur rentabilité tout en réduisant les coûts des procès et autres pertes ;</w:t>
            </w:r>
          </w:p>
        </w:tc>
        <w:tc>
          <w:tcPr>
            <w:tcW w:w="6951" w:type="dxa"/>
          </w:tcPr>
          <w:p w:rsidR="006F5727" w:rsidRPr="006F5727" w:rsidRDefault="006F5727" w:rsidP="00DA6C43">
            <w:pPr>
              <w:rPr>
                <w:sz w:val="28"/>
              </w:rPr>
            </w:pPr>
          </w:p>
        </w:tc>
      </w:tr>
      <w:tr w:rsidR="006F5727" w:rsidRPr="006F5727" w:rsidTr="006569DC">
        <w:trPr>
          <w:jc w:val="center"/>
        </w:trPr>
        <w:tc>
          <w:tcPr>
            <w:tcW w:w="8379" w:type="dxa"/>
          </w:tcPr>
          <w:p w:rsidR="006F5727" w:rsidRPr="006F5727" w:rsidRDefault="00D23A2E" w:rsidP="006F5727">
            <w:pPr>
              <w:jc w:val="right"/>
              <w:rPr>
                <w:sz w:val="28"/>
              </w:rPr>
            </w:pPr>
            <w:r w:rsidRPr="00D23A2E">
              <w:rPr>
                <w:sz w:val="28"/>
              </w:rPr>
              <w:t>La complexification croissante de la législation sociale, qui transforme de plus en plus le service RH en gestionnaire de complexité juridique, est plus que jamais un moteur puissant d’externalisation en s’appuyant sur un spécialiste de la question ;</w:t>
            </w:r>
          </w:p>
        </w:tc>
        <w:tc>
          <w:tcPr>
            <w:tcW w:w="6951" w:type="dxa"/>
          </w:tcPr>
          <w:p w:rsidR="006F5727" w:rsidRPr="006F5727" w:rsidRDefault="006F5727" w:rsidP="00DA6C43">
            <w:pPr>
              <w:rPr>
                <w:rFonts w:ascii="Times New Roman" w:eastAsia="Times New Roman" w:hAnsi="Times New Roman" w:cs="Times New Roman"/>
                <w:sz w:val="28"/>
                <w:szCs w:val="24"/>
                <w:lang w:eastAsia="fr-FR"/>
              </w:rPr>
            </w:pPr>
          </w:p>
        </w:tc>
      </w:tr>
      <w:tr w:rsidR="00AD5D01" w:rsidRPr="006F5727" w:rsidTr="006569DC">
        <w:trPr>
          <w:jc w:val="center"/>
        </w:trPr>
        <w:tc>
          <w:tcPr>
            <w:tcW w:w="8379" w:type="dxa"/>
          </w:tcPr>
          <w:p w:rsidR="00AD5D01" w:rsidRPr="00AD5D01" w:rsidRDefault="00D23A2E" w:rsidP="006F5727">
            <w:pPr>
              <w:jc w:val="right"/>
              <w:rPr>
                <w:sz w:val="28"/>
              </w:rPr>
            </w:pPr>
            <w:r w:rsidRPr="00D23A2E">
              <w:rPr>
                <w:sz w:val="28"/>
              </w:rPr>
              <w:t>Les Grandes Entreprises également qui l’ont compris externalisent des activités stratégiques en soutien au DRH déjà présent; apparaissant du coup comme le “conseiller stratégique” du premier dirigeant de l’entreprise pour la prise de bonnes décisions.</w:t>
            </w:r>
          </w:p>
        </w:tc>
        <w:tc>
          <w:tcPr>
            <w:tcW w:w="6951" w:type="dxa"/>
          </w:tcPr>
          <w:p w:rsidR="00AD5D01" w:rsidRPr="006F5727" w:rsidRDefault="00AD5D01" w:rsidP="00DA6C43">
            <w:pPr>
              <w:rPr>
                <w:rFonts w:ascii="Times New Roman" w:eastAsia="Times New Roman" w:hAnsi="Times New Roman" w:cs="Times New Roman"/>
                <w:sz w:val="28"/>
                <w:szCs w:val="24"/>
                <w:lang w:eastAsia="fr-FR"/>
              </w:rPr>
            </w:pPr>
          </w:p>
        </w:tc>
      </w:tr>
    </w:tbl>
    <w:p w:rsidR="00E8450B" w:rsidRDefault="00E8450B" w:rsidP="00DA6C43"/>
    <w:p w:rsidR="00DA6C43" w:rsidRDefault="00DA6C43" w:rsidP="00DA6C43"/>
    <w:sectPr w:rsidR="00DA6C43" w:rsidSect="00DA6C43">
      <w:pgSz w:w="16838" w:h="11906" w:orient="landscape"/>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2539B2"/>
    <w:rsid w:val="002C7285"/>
    <w:rsid w:val="003B0F9C"/>
    <w:rsid w:val="003C7D07"/>
    <w:rsid w:val="004029EE"/>
    <w:rsid w:val="004E1A3B"/>
    <w:rsid w:val="00637A81"/>
    <w:rsid w:val="006569DC"/>
    <w:rsid w:val="006F5727"/>
    <w:rsid w:val="008D1C92"/>
    <w:rsid w:val="00A75CB6"/>
    <w:rsid w:val="00AD5D01"/>
    <w:rsid w:val="00D23A2E"/>
    <w:rsid w:val="00DA6C43"/>
    <w:rsid w:val="00DF6B12"/>
    <w:rsid w:val="00E845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F1CBF-0658-457E-9858-ED9D15D9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84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E84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4543">
      <w:bodyDiv w:val="1"/>
      <w:marLeft w:val="0"/>
      <w:marRight w:val="0"/>
      <w:marTop w:val="0"/>
      <w:marBottom w:val="0"/>
      <w:divBdr>
        <w:top w:val="none" w:sz="0" w:space="0" w:color="auto"/>
        <w:left w:val="none" w:sz="0" w:space="0" w:color="auto"/>
        <w:bottom w:val="none" w:sz="0" w:space="0" w:color="auto"/>
        <w:right w:val="none" w:sz="0" w:space="0" w:color="auto"/>
      </w:divBdr>
    </w:div>
    <w:div w:id="1928691506">
      <w:bodyDiv w:val="1"/>
      <w:marLeft w:val="0"/>
      <w:marRight w:val="0"/>
      <w:marTop w:val="0"/>
      <w:marBottom w:val="0"/>
      <w:divBdr>
        <w:top w:val="none" w:sz="0" w:space="0" w:color="auto"/>
        <w:left w:val="none" w:sz="0" w:space="0" w:color="auto"/>
        <w:bottom w:val="none" w:sz="0" w:space="0" w:color="auto"/>
        <w:right w:val="none" w:sz="0" w:space="0" w:color="auto"/>
      </w:divBdr>
      <w:divsChild>
        <w:div w:id="249437376">
          <w:marLeft w:val="0"/>
          <w:marRight w:val="0"/>
          <w:marTop w:val="0"/>
          <w:marBottom w:val="0"/>
          <w:divBdr>
            <w:top w:val="none" w:sz="0" w:space="0" w:color="auto"/>
            <w:left w:val="none" w:sz="0" w:space="0" w:color="auto"/>
            <w:bottom w:val="none" w:sz="0" w:space="0" w:color="auto"/>
            <w:right w:val="none" w:sz="0" w:space="0" w:color="auto"/>
          </w:divBdr>
          <w:divsChild>
            <w:div w:id="3555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196</Words>
  <Characters>1084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2020-10-13T10:42:00Z</dcterms:created>
  <dcterms:modified xsi:type="dcterms:W3CDTF">2020-10-13T11:34:00Z</dcterms:modified>
</cp:coreProperties>
</file>