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48A" w:rsidRPr="00D03CCD" w:rsidRDefault="00B8748A" w:rsidP="00B8748A">
      <w:pPr>
        <w:ind w:left="2880" w:firstLine="720"/>
        <w:rPr>
          <w:b/>
          <w:snapToGrid w:val="0"/>
          <w:sz w:val="28"/>
          <w:szCs w:val="28"/>
        </w:rPr>
      </w:pPr>
      <w:r w:rsidRPr="00D03CCD">
        <w:rPr>
          <w:b/>
          <w:snapToGrid w:val="0"/>
          <w:sz w:val="28"/>
          <w:szCs w:val="28"/>
        </w:rPr>
        <w:t>Provincial Results</w:t>
      </w:r>
    </w:p>
    <w:tbl>
      <w:tblPr>
        <w:tblW w:w="9671" w:type="dxa"/>
        <w:tblInd w:w="98" w:type="dxa"/>
        <w:tblLook w:val="04A0"/>
      </w:tblPr>
      <w:tblGrid>
        <w:gridCol w:w="505"/>
        <w:gridCol w:w="819"/>
        <w:gridCol w:w="819"/>
        <w:gridCol w:w="819"/>
        <w:gridCol w:w="819"/>
        <w:gridCol w:w="840"/>
        <w:gridCol w:w="795"/>
        <w:gridCol w:w="820"/>
        <w:gridCol w:w="795"/>
        <w:gridCol w:w="920"/>
        <w:gridCol w:w="820"/>
        <w:gridCol w:w="900"/>
      </w:tblGrid>
      <w:tr w:rsidR="00B8748A" w:rsidRPr="00634869" w:rsidTr="00471C21">
        <w:trPr>
          <w:trHeight w:val="310"/>
        </w:trPr>
        <w:tc>
          <w:tcPr>
            <w:tcW w:w="3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24"/>
                <w:szCs w:val="24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24"/>
                <w:szCs w:val="24"/>
                <w:lang w:val="en-NZ" w:eastAsia="en-NZ"/>
              </w:rPr>
              <w:t>Placings 1st Class Cricket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1995/96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1996/97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1997/98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1998/99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1999/00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2000/01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2001/02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2002/03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2003/04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2004/05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2014/15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38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35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38</w:t>
            </w: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2017/18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1995/96 to 2017/18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74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78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84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79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634869" w:rsidTr="00471C21">
        <w:trPr>
          <w:trHeight w:val="280"/>
        </w:trPr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634869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3486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75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634869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Pr="0024304B" w:rsidRDefault="00B8748A" w:rsidP="00B8748A">
      <w:pPr>
        <w:rPr>
          <w:snapToGrid w:val="0"/>
          <w:sz w:val="22"/>
          <w:szCs w:val="22"/>
        </w:rPr>
      </w:pPr>
      <w:r w:rsidRPr="0024304B">
        <w:rPr>
          <w:snapToGrid w:val="0"/>
          <w:sz w:val="22"/>
          <w:szCs w:val="22"/>
        </w:rPr>
        <w:t>The</w:t>
      </w:r>
      <w:r>
        <w:rPr>
          <w:snapToGrid w:val="0"/>
          <w:sz w:val="22"/>
          <w:szCs w:val="22"/>
        </w:rPr>
        <w:t xml:space="preserve">se tables </w:t>
      </w:r>
      <w:r w:rsidRPr="0024304B">
        <w:rPr>
          <w:snapToGrid w:val="0"/>
          <w:sz w:val="22"/>
          <w:szCs w:val="22"/>
        </w:rPr>
        <w:t>showing the aggregated final positions over a five year p</w:t>
      </w:r>
      <w:r>
        <w:rPr>
          <w:snapToGrid w:val="0"/>
          <w:sz w:val="22"/>
          <w:szCs w:val="22"/>
        </w:rPr>
        <w:t>eriod are</w:t>
      </w:r>
      <w:r w:rsidRPr="0024304B">
        <w:rPr>
          <w:snapToGrid w:val="0"/>
          <w:sz w:val="22"/>
          <w:szCs w:val="22"/>
        </w:rPr>
        <w:t xml:space="preserve"> a rough but reasonably accurate guide to</w:t>
      </w:r>
    </w:p>
    <w:p w:rsidR="00B8748A" w:rsidRPr="0024304B" w:rsidRDefault="00B8748A" w:rsidP="00B8748A">
      <w:pPr>
        <w:rPr>
          <w:snapToGrid w:val="0"/>
          <w:sz w:val="22"/>
          <w:szCs w:val="22"/>
        </w:rPr>
      </w:pPr>
      <w:r w:rsidRPr="0024304B">
        <w:rPr>
          <w:snapToGrid w:val="0"/>
          <w:sz w:val="22"/>
          <w:szCs w:val="22"/>
        </w:rPr>
        <w:t xml:space="preserve"> </w:t>
      </w:r>
      <w:proofErr w:type="gramStart"/>
      <w:r w:rsidRPr="0024304B">
        <w:rPr>
          <w:snapToGrid w:val="0"/>
          <w:sz w:val="22"/>
          <w:szCs w:val="22"/>
        </w:rPr>
        <w:t>the</w:t>
      </w:r>
      <w:proofErr w:type="gramEnd"/>
      <w:r w:rsidRPr="0024304B">
        <w:rPr>
          <w:snapToGrid w:val="0"/>
          <w:sz w:val="22"/>
          <w:szCs w:val="22"/>
        </w:rPr>
        <w:t xml:space="preserve"> success of each province over the various periods.   </w:t>
      </w:r>
      <w:proofErr w:type="gramStart"/>
      <w:r>
        <w:rPr>
          <w:snapToGrid w:val="0"/>
          <w:sz w:val="22"/>
          <w:szCs w:val="22"/>
        </w:rPr>
        <w:t>The lower the figure, the greater the success.</w:t>
      </w:r>
      <w:proofErr w:type="gramEnd"/>
    </w:p>
    <w:p w:rsidR="00B8748A" w:rsidRDefault="00B8748A" w:rsidP="00B8748A">
      <w:pPr>
        <w:rPr>
          <w:snapToGrid w:val="0"/>
          <w:sz w:val="22"/>
          <w:szCs w:val="22"/>
        </w:rPr>
      </w:pPr>
      <w:r w:rsidRPr="0024304B">
        <w:rPr>
          <w:snapToGrid w:val="0"/>
          <w:sz w:val="22"/>
          <w:szCs w:val="22"/>
        </w:rPr>
        <w:t xml:space="preserve">   </w:t>
      </w:r>
      <w:r>
        <w:rPr>
          <w:snapToGrid w:val="0"/>
          <w:sz w:val="22"/>
          <w:szCs w:val="22"/>
        </w:rPr>
        <w:t xml:space="preserve">  </w:t>
      </w:r>
      <w:r w:rsidRPr="0024304B">
        <w:rPr>
          <w:snapToGrid w:val="0"/>
          <w:sz w:val="22"/>
          <w:szCs w:val="22"/>
        </w:rPr>
        <w:t>Over the past 15 years Auckland has won the first class</w:t>
      </w:r>
      <w:r>
        <w:rPr>
          <w:snapToGrid w:val="0"/>
          <w:sz w:val="22"/>
          <w:szCs w:val="22"/>
        </w:rPr>
        <w:t xml:space="preserve"> competition on five</w:t>
      </w:r>
      <w:r w:rsidRPr="0024304B">
        <w:rPr>
          <w:snapToGrid w:val="0"/>
          <w:sz w:val="22"/>
          <w:szCs w:val="22"/>
        </w:rPr>
        <w:t xml:space="preserve"> occasions, Canterbury </w:t>
      </w:r>
      <w:r>
        <w:rPr>
          <w:snapToGrid w:val="0"/>
          <w:sz w:val="22"/>
          <w:szCs w:val="22"/>
        </w:rPr>
        <w:t>and Northern Districts</w:t>
      </w:r>
    </w:p>
    <w:p w:rsidR="00B8748A" w:rsidRDefault="00B8748A" w:rsidP="00B8748A">
      <w:pPr>
        <w:rPr>
          <w:snapToGrid w:val="0"/>
          <w:sz w:val="22"/>
          <w:szCs w:val="22"/>
        </w:rPr>
      </w:pPr>
      <w:proofErr w:type="gramStart"/>
      <w:r w:rsidRPr="0024304B">
        <w:rPr>
          <w:snapToGrid w:val="0"/>
          <w:sz w:val="22"/>
          <w:szCs w:val="22"/>
        </w:rPr>
        <w:t>on</w:t>
      </w:r>
      <w:proofErr w:type="gramEnd"/>
      <w:r w:rsidRPr="0024304B">
        <w:rPr>
          <w:snapToGrid w:val="0"/>
          <w:sz w:val="22"/>
          <w:szCs w:val="22"/>
        </w:rPr>
        <w:t xml:space="preserve"> three occasions</w:t>
      </w:r>
      <w:r>
        <w:rPr>
          <w:snapToGrid w:val="0"/>
          <w:sz w:val="22"/>
          <w:szCs w:val="22"/>
        </w:rPr>
        <w:t xml:space="preserve"> and </w:t>
      </w:r>
      <w:r w:rsidRPr="0024304B">
        <w:rPr>
          <w:snapToGrid w:val="0"/>
          <w:sz w:val="22"/>
          <w:szCs w:val="22"/>
        </w:rPr>
        <w:t>Central Districts and Wellington twice. Wellington and Aucklan</w:t>
      </w:r>
      <w:r>
        <w:rPr>
          <w:snapToGrid w:val="0"/>
          <w:sz w:val="22"/>
          <w:szCs w:val="22"/>
        </w:rPr>
        <w:t xml:space="preserve">d have been the dominant teams, </w:t>
      </w:r>
    </w:p>
    <w:p w:rsidR="00B8748A" w:rsidRDefault="00B8748A" w:rsidP="00B8748A">
      <w:pPr>
        <w:rPr>
          <w:snapToGrid w:val="0"/>
          <w:sz w:val="22"/>
          <w:szCs w:val="22"/>
        </w:rPr>
      </w:pPr>
      <w:proofErr w:type="gramStart"/>
      <w:r>
        <w:rPr>
          <w:snapToGrid w:val="0"/>
          <w:sz w:val="22"/>
          <w:szCs w:val="22"/>
        </w:rPr>
        <w:t>particularly</w:t>
      </w:r>
      <w:proofErr w:type="gramEnd"/>
      <w:r>
        <w:rPr>
          <w:snapToGrid w:val="0"/>
          <w:sz w:val="22"/>
          <w:szCs w:val="22"/>
        </w:rPr>
        <w:t xml:space="preserve"> in the period from 2000/01 to 2004/05. </w:t>
      </w:r>
      <w:r w:rsidRPr="0024304B">
        <w:rPr>
          <w:snapToGrid w:val="0"/>
          <w:sz w:val="22"/>
          <w:szCs w:val="22"/>
        </w:rPr>
        <w:t xml:space="preserve">Otago has been near the bottom in all periods. Canterbury </w:t>
      </w:r>
      <w:r>
        <w:rPr>
          <w:snapToGrid w:val="0"/>
          <w:sz w:val="22"/>
          <w:szCs w:val="22"/>
        </w:rPr>
        <w:t xml:space="preserve">has been last on </w:t>
      </w:r>
    </w:p>
    <w:p w:rsidR="00B8748A" w:rsidRPr="0024304B" w:rsidRDefault="00B8748A" w:rsidP="00B8748A">
      <w:pPr>
        <w:rPr>
          <w:snapToGrid w:val="0"/>
          <w:sz w:val="22"/>
          <w:szCs w:val="22"/>
        </w:rPr>
      </w:pPr>
      <w:proofErr w:type="gramStart"/>
      <w:r>
        <w:rPr>
          <w:snapToGrid w:val="0"/>
          <w:sz w:val="22"/>
          <w:szCs w:val="22"/>
        </w:rPr>
        <w:t>five</w:t>
      </w:r>
      <w:proofErr w:type="gramEnd"/>
      <w:r>
        <w:rPr>
          <w:snapToGrid w:val="0"/>
          <w:sz w:val="22"/>
          <w:szCs w:val="22"/>
        </w:rPr>
        <w:t xml:space="preserve"> occasions.</w:t>
      </w:r>
    </w:p>
    <w:p w:rsidR="00B8748A" w:rsidRPr="0024304B" w:rsidRDefault="00B8748A" w:rsidP="00B8748A">
      <w:pPr>
        <w:rPr>
          <w:snapToGrid w:val="0"/>
          <w:sz w:val="22"/>
          <w:szCs w:val="22"/>
        </w:rPr>
      </w:pPr>
      <w:r w:rsidRPr="0024304B">
        <w:rPr>
          <w:snapToGrid w:val="0"/>
          <w:sz w:val="22"/>
          <w:szCs w:val="22"/>
        </w:rPr>
        <w:t xml:space="preserve">  </w:t>
      </w:r>
      <w:r>
        <w:rPr>
          <w:snapToGrid w:val="0"/>
          <w:sz w:val="22"/>
          <w:szCs w:val="22"/>
        </w:rPr>
        <w:t xml:space="preserve">  </w:t>
      </w:r>
      <w:smartTag w:uri="urn:schemas-microsoft-com:office:smarttags" w:element="PersonName">
        <w:r w:rsidRPr="0024304B">
          <w:rPr>
            <w:snapToGrid w:val="0"/>
            <w:sz w:val="22"/>
            <w:szCs w:val="22"/>
          </w:rPr>
          <w:t>The</w:t>
        </w:r>
      </w:smartTag>
      <w:r w:rsidRPr="0024304B">
        <w:rPr>
          <w:snapToGrid w:val="0"/>
          <w:sz w:val="22"/>
          <w:szCs w:val="22"/>
        </w:rPr>
        <w:t xml:space="preserve"> interesting aspect is to compare these results for one day cricket over a similar period. Canterbury is clearly the</w:t>
      </w:r>
    </w:p>
    <w:p w:rsidR="00B8748A" w:rsidRDefault="00B8748A" w:rsidP="00B8748A">
      <w:pPr>
        <w:rPr>
          <w:snapToGrid w:val="0"/>
          <w:sz w:val="22"/>
          <w:szCs w:val="22"/>
        </w:rPr>
      </w:pPr>
      <w:proofErr w:type="gramStart"/>
      <w:r w:rsidRPr="0024304B">
        <w:rPr>
          <w:snapToGrid w:val="0"/>
          <w:sz w:val="22"/>
          <w:szCs w:val="22"/>
        </w:rPr>
        <w:t>leading</w:t>
      </w:r>
      <w:proofErr w:type="gramEnd"/>
      <w:r w:rsidRPr="0024304B">
        <w:rPr>
          <w:snapToGrid w:val="0"/>
          <w:sz w:val="22"/>
          <w:szCs w:val="22"/>
        </w:rPr>
        <w:t xml:space="preserve"> team </w:t>
      </w:r>
      <w:r>
        <w:rPr>
          <w:snapToGrid w:val="0"/>
          <w:sz w:val="22"/>
          <w:szCs w:val="22"/>
        </w:rPr>
        <w:t>and along with Northern Districts have</w:t>
      </w:r>
      <w:r w:rsidRPr="0024304B">
        <w:rPr>
          <w:snapToGrid w:val="0"/>
          <w:sz w:val="22"/>
          <w:szCs w:val="22"/>
        </w:rPr>
        <w:t xml:space="preserve"> won the competition on five occasions</w:t>
      </w:r>
      <w:r>
        <w:rPr>
          <w:snapToGrid w:val="0"/>
          <w:sz w:val="22"/>
          <w:szCs w:val="22"/>
        </w:rPr>
        <w:t xml:space="preserve">, but Canterbury’s last victory was in 2005/06. </w:t>
      </w:r>
    </w:p>
    <w:p w:rsidR="00B8748A" w:rsidRDefault="00B8748A" w:rsidP="00B8748A">
      <w:pPr>
        <w:rPr>
          <w:snapToGrid w:val="0"/>
          <w:sz w:val="22"/>
          <w:szCs w:val="22"/>
        </w:rPr>
      </w:pPr>
      <w:r w:rsidRPr="0024304B">
        <w:rPr>
          <w:snapToGrid w:val="0"/>
          <w:sz w:val="22"/>
          <w:szCs w:val="22"/>
        </w:rPr>
        <w:t xml:space="preserve">Otago has improved over the past five years and is the leading team for that period.  Auckland has had </w:t>
      </w:r>
      <w:r>
        <w:rPr>
          <w:snapToGrid w:val="0"/>
          <w:sz w:val="22"/>
          <w:szCs w:val="22"/>
        </w:rPr>
        <w:t>l</w:t>
      </w:r>
      <w:r w:rsidRPr="0024304B">
        <w:rPr>
          <w:snapToGrid w:val="0"/>
          <w:sz w:val="22"/>
          <w:szCs w:val="22"/>
        </w:rPr>
        <w:t xml:space="preserve">ittle success and has </w:t>
      </w:r>
    </w:p>
    <w:p w:rsidR="00B8748A" w:rsidRPr="0024304B" w:rsidRDefault="00B8748A" w:rsidP="00B8748A">
      <w:pPr>
        <w:rPr>
          <w:snapToGrid w:val="0"/>
          <w:sz w:val="22"/>
          <w:szCs w:val="22"/>
        </w:rPr>
      </w:pPr>
      <w:proofErr w:type="gramStart"/>
      <w:r w:rsidRPr="0024304B">
        <w:rPr>
          <w:snapToGrid w:val="0"/>
          <w:sz w:val="22"/>
          <w:szCs w:val="22"/>
        </w:rPr>
        <w:t>only</w:t>
      </w:r>
      <w:proofErr w:type="gramEnd"/>
      <w:r w:rsidRPr="0024304B">
        <w:rPr>
          <w:snapToGrid w:val="0"/>
          <w:sz w:val="22"/>
          <w:szCs w:val="22"/>
        </w:rPr>
        <w:t xml:space="preserve"> one victory</w:t>
      </w:r>
      <w:r>
        <w:rPr>
          <w:snapToGrid w:val="0"/>
          <w:sz w:val="22"/>
          <w:szCs w:val="22"/>
        </w:rPr>
        <w:t xml:space="preserve"> over the 15 years</w:t>
      </w:r>
      <w:r w:rsidRPr="0024304B">
        <w:rPr>
          <w:snapToGrid w:val="0"/>
          <w:sz w:val="22"/>
          <w:szCs w:val="22"/>
        </w:rPr>
        <w:t xml:space="preserve">. This is in contrast with its performance at the longer game. </w:t>
      </w:r>
    </w:p>
    <w:tbl>
      <w:tblPr>
        <w:tblW w:w="0" w:type="auto"/>
        <w:tblInd w:w="98" w:type="dxa"/>
        <w:tblLook w:val="04A0"/>
      </w:tblPr>
      <w:tblGrid>
        <w:gridCol w:w="777"/>
        <w:gridCol w:w="729"/>
        <w:gridCol w:w="641"/>
        <w:gridCol w:w="341"/>
        <w:gridCol w:w="729"/>
        <w:gridCol w:w="524"/>
        <w:gridCol w:w="279"/>
        <w:gridCol w:w="483"/>
        <w:gridCol w:w="803"/>
        <w:gridCol w:w="222"/>
        <w:gridCol w:w="483"/>
        <w:gridCol w:w="550"/>
        <w:gridCol w:w="253"/>
        <w:gridCol w:w="474"/>
        <w:gridCol w:w="803"/>
        <w:gridCol w:w="222"/>
        <w:gridCol w:w="599"/>
        <w:gridCol w:w="803"/>
      </w:tblGrid>
      <w:tr w:rsidR="00B8748A" w:rsidRPr="00410180" w:rsidTr="00471C21">
        <w:trPr>
          <w:trHeight w:val="28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B8748A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24"/>
                <w:szCs w:val="24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24"/>
                <w:szCs w:val="24"/>
                <w:lang w:val="en-NZ" w:eastAsia="en-NZ"/>
              </w:rPr>
              <w:t>Centuries For and 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1995/96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1996/97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1998/99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1999/00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2000/01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2001/02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2002/03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2003/04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2004/05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247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41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42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40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38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39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43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243</w:t>
            </w: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1995/96 to 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410180" w:rsidTr="00471C2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1018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410180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</w:tbl>
    <w:p w:rsidR="00B8748A" w:rsidRDefault="00B8748A" w:rsidP="00B8748A">
      <w:pPr>
        <w:rPr>
          <w:sz w:val="22"/>
          <w:szCs w:val="22"/>
        </w:rPr>
      </w:pPr>
      <w:r w:rsidRPr="00C82983">
        <w:rPr>
          <w:sz w:val="22"/>
          <w:szCs w:val="22"/>
        </w:rPr>
        <w:t>Canterbury has been in positive ratio over the past 10 years</w:t>
      </w:r>
      <w:r>
        <w:rPr>
          <w:sz w:val="22"/>
          <w:szCs w:val="22"/>
        </w:rPr>
        <w:t xml:space="preserve">, with particular success over the last five years. Over the 15 year </w:t>
      </w:r>
    </w:p>
    <w:p w:rsidR="00B8748A" w:rsidRDefault="00B8748A" w:rsidP="00B8748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period</w:t>
      </w:r>
      <w:proofErr w:type="gramEnd"/>
      <w:r>
        <w:rPr>
          <w:sz w:val="22"/>
          <w:szCs w:val="22"/>
        </w:rPr>
        <w:t xml:space="preserve"> they are second to Wellington.</w:t>
      </w:r>
    </w:p>
    <w:p w:rsidR="00B8748A" w:rsidRDefault="00B8748A" w:rsidP="00B8748A">
      <w:pPr>
        <w:rPr>
          <w:rFonts w:ascii="Arial" w:hAnsi="Arial" w:cs="Arial"/>
          <w:b/>
          <w:snapToGrid w:val="0"/>
        </w:rPr>
      </w:pPr>
    </w:p>
    <w:p w:rsidR="00B8748A" w:rsidRDefault="00B8748A" w:rsidP="00B8748A">
      <w:pPr>
        <w:rPr>
          <w:rFonts w:ascii="Arial" w:hAnsi="Arial" w:cs="Arial"/>
          <w:b/>
          <w:snapToGrid w:val="0"/>
        </w:rPr>
      </w:pPr>
    </w:p>
    <w:p w:rsidR="00B8748A" w:rsidRDefault="00B8748A" w:rsidP="00B8748A">
      <w:pPr>
        <w:rPr>
          <w:rFonts w:ascii="Arial" w:hAnsi="Arial" w:cs="Arial"/>
          <w:b/>
          <w:snapToGrid w:val="0"/>
        </w:rPr>
      </w:pPr>
    </w:p>
    <w:p w:rsidR="00B8748A" w:rsidRPr="00510217" w:rsidRDefault="00B8748A" w:rsidP="00B8748A">
      <w:pPr>
        <w:rPr>
          <w:rFonts w:ascii="Arial" w:hAnsi="Arial" w:cs="Arial"/>
          <w:b/>
          <w:snapToGrid w:val="0"/>
          <w:sz w:val="28"/>
          <w:szCs w:val="28"/>
        </w:rPr>
      </w:pPr>
      <w:r w:rsidRPr="00510217">
        <w:rPr>
          <w:rFonts w:ascii="Arial" w:hAnsi="Arial" w:cs="Arial"/>
          <w:b/>
          <w:snapToGrid w:val="0"/>
          <w:sz w:val="28"/>
          <w:szCs w:val="28"/>
        </w:rPr>
        <w:t>Outrights</w:t>
      </w:r>
      <w:r>
        <w:rPr>
          <w:rFonts w:ascii="Arial" w:hAnsi="Arial" w:cs="Arial"/>
          <w:b/>
          <w:snapToGrid w:val="0"/>
          <w:sz w:val="28"/>
          <w:szCs w:val="28"/>
        </w:rPr>
        <w:t xml:space="preserve"> for and against</w:t>
      </w:r>
    </w:p>
    <w:p w:rsidR="00B8748A" w:rsidRPr="00041B1D" w:rsidRDefault="00B8748A" w:rsidP="00B8748A">
      <w:pPr>
        <w:rPr>
          <w:rFonts w:ascii="Arial" w:hAnsi="Arial" w:cs="Arial"/>
          <w:b/>
          <w:snapToGrid w:val="0"/>
          <w:sz w:val="16"/>
          <w:szCs w:val="16"/>
        </w:rPr>
      </w:pPr>
      <w:r>
        <w:rPr>
          <w:rFonts w:ascii="Arial" w:hAnsi="Arial" w:cs="Arial"/>
          <w:b/>
          <w:snapToGrid w:val="0"/>
        </w:rPr>
        <w:tab/>
      </w:r>
      <w:r w:rsidRPr="00041B1D">
        <w:rPr>
          <w:rFonts w:ascii="Arial" w:hAnsi="Arial" w:cs="Arial"/>
          <w:b/>
          <w:snapToGrid w:val="0"/>
          <w:sz w:val="16"/>
          <w:szCs w:val="16"/>
        </w:rPr>
        <w:t>1995/96 to 1999/00</w:t>
      </w:r>
      <w:r>
        <w:rPr>
          <w:rFonts w:ascii="Arial" w:hAnsi="Arial" w:cs="Arial"/>
          <w:b/>
          <w:snapToGrid w:val="0"/>
          <w:sz w:val="16"/>
          <w:szCs w:val="16"/>
        </w:rPr>
        <w:tab/>
      </w:r>
      <w:r>
        <w:rPr>
          <w:rFonts w:ascii="Arial" w:hAnsi="Arial" w:cs="Arial"/>
          <w:b/>
          <w:snapToGrid w:val="0"/>
          <w:sz w:val="16"/>
          <w:szCs w:val="16"/>
        </w:rPr>
        <w:tab/>
        <w:t xml:space="preserve">  2000/01 to 2004/05                             2005/06 to 2009/10                              1995/96 to 2009/10</w:t>
      </w:r>
    </w:p>
    <w:tbl>
      <w:tblPr>
        <w:tblW w:w="21042" w:type="dxa"/>
        <w:tblInd w:w="-15" w:type="dxa"/>
        <w:tblLook w:val="04A0"/>
      </w:tblPr>
      <w:tblGrid>
        <w:gridCol w:w="41"/>
        <w:gridCol w:w="860"/>
        <w:gridCol w:w="20"/>
        <w:gridCol w:w="620"/>
        <w:gridCol w:w="471"/>
        <w:gridCol w:w="910"/>
        <w:gridCol w:w="67"/>
        <w:gridCol w:w="155"/>
        <w:gridCol w:w="67"/>
        <w:gridCol w:w="438"/>
        <w:gridCol w:w="111"/>
        <w:gridCol w:w="509"/>
        <w:gridCol w:w="469"/>
        <w:gridCol w:w="222"/>
        <w:gridCol w:w="649"/>
        <w:gridCol w:w="22"/>
        <w:gridCol w:w="222"/>
        <w:gridCol w:w="520"/>
        <w:gridCol w:w="39"/>
        <w:gridCol w:w="320"/>
        <w:gridCol w:w="281"/>
        <w:gridCol w:w="339"/>
        <w:gridCol w:w="803"/>
        <w:gridCol w:w="300"/>
        <w:gridCol w:w="73"/>
        <w:gridCol w:w="222"/>
        <w:gridCol w:w="505"/>
        <w:gridCol w:w="700"/>
        <w:gridCol w:w="103"/>
        <w:gridCol w:w="222"/>
        <w:gridCol w:w="478"/>
        <w:gridCol w:w="122"/>
        <w:gridCol w:w="170"/>
        <w:gridCol w:w="474"/>
        <w:gridCol w:w="474"/>
        <w:gridCol w:w="226"/>
        <w:gridCol w:w="1120"/>
        <w:gridCol w:w="620"/>
        <w:gridCol w:w="803"/>
        <w:gridCol w:w="1220"/>
        <w:gridCol w:w="560"/>
        <w:gridCol w:w="803"/>
        <w:gridCol w:w="1120"/>
        <w:gridCol w:w="560"/>
        <w:gridCol w:w="960"/>
        <w:gridCol w:w="1052"/>
      </w:tblGrid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For 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Against</w:t>
            </w: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For </w:t>
            </w:r>
          </w:p>
        </w:tc>
        <w:tc>
          <w:tcPr>
            <w:tcW w:w="15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Against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For </w:t>
            </w:r>
          </w:p>
        </w:tc>
        <w:tc>
          <w:tcPr>
            <w:tcW w:w="17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Against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For 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Against</w:t>
            </w: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CD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CD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ND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ND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46</w:t>
            </w: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72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72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234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234</w:t>
            </w: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8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2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2010/11 to 2014/15</w:t>
            </w: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2015/16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2016/17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For 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Against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For 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For 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CD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CD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ND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ND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9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748A" w:rsidTr="00471C21">
        <w:trPr>
          <w:gridBefore w:val="1"/>
          <w:gridAfter w:val="15"/>
          <w:wBefore w:w="41" w:type="dxa"/>
          <w:wAfter w:w="10284" w:type="dxa"/>
          <w:trHeight w:val="280"/>
        </w:trPr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1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8748A" w:rsidRPr="00BA19CD" w:rsidTr="00471C21">
        <w:tblPrEx>
          <w:tblLook w:val="0000"/>
        </w:tblPrEx>
        <w:trPr>
          <w:trHeight w:val="255"/>
        </w:trPr>
        <w:tc>
          <w:tcPr>
            <w:tcW w:w="11050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  <w:highlight w:val="yellow"/>
              </w:rPr>
            </w:pPr>
          </w:p>
          <w:p w:rsidR="00B8748A" w:rsidRPr="00BA19CD" w:rsidRDefault="00B8748A" w:rsidP="00471C21">
            <w:pPr>
              <w:rPr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A19CD" w:rsidRDefault="00B8748A" w:rsidP="00471C21">
            <w:pPr>
              <w:rPr>
                <w:rFonts w:ascii="Arial" w:hAnsi="Arial" w:cs="Arial"/>
                <w:highlight w:val="yellow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310"/>
        </w:trPr>
        <w:tc>
          <w:tcPr>
            <w:tcW w:w="560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24"/>
                <w:szCs w:val="24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24"/>
                <w:szCs w:val="24"/>
                <w:lang w:val="en-NZ" w:eastAsia="en-NZ"/>
              </w:rPr>
              <w:t>Scores Over 300 For and Against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1995/96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1996/97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1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1997/98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1998/99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1999/00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25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14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88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88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2000/01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2001/02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2002/03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2003/04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2004/05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30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30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131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131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sz w:val="18"/>
                <w:szCs w:val="18"/>
                <w:lang w:val="en-NZ" w:eastAsia="en-NZ"/>
              </w:rPr>
              <w:t>30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sz w:val="18"/>
                <w:szCs w:val="18"/>
                <w:lang w:val="en-NZ" w:eastAsia="en-NZ"/>
              </w:rPr>
              <w:t>30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sz w:val="18"/>
                <w:szCs w:val="18"/>
                <w:lang w:val="en-NZ" w:eastAsia="en-NZ"/>
              </w:rPr>
              <w:t>37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sz w:val="18"/>
                <w:szCs w:val="18"/>
                <w:lang w:val="en-NZ" w:eastAsia="en-NZ"/>
              </w:rPr>
              <w:t>37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sz w:val="18"/>
                <w:szCs w:val="18"/>
                <w:lang w:val="en-NZ" w:eastAsia="en-NZ"/>
              </w:rPr>
              <w:t>40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sz w:val="18"/>
                <w:szCs w:val="18"/>
                <w:lang w:val="en-NZ" w:eastAsia="en-NZ"/>
              </w:rPr>
              <w:t>40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sz w:val="18"/>
                <w:szCs w:val="18"/>
                <w:lang w:val="en-NZ" w:eastAsia="en-NZ"/>
              </w:rPr>
              <w:t>38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sz w:val="18"/>
                <w:szCs w:val="18"/>
                <w:lang w:val="en-NZ" w:eastAsia="en-NZ"/>
              </w:rPr>
              <w:t>38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195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195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2011/12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2012/13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2013/14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2014/15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lastRenderedPageBreak/>
              <w:t>A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39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49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217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217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2015/16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2016/17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95/96 to 16/17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B8748A" w:rsidRPr="00510217" w:rsidTr="00471C21">
        <w:trPr>
          <w:gridAfter w:val="11"/>
          <w:wAfter w:w="9045" w:type="dxa"/>
          <w:trHeight w:val="280"/>
        </w:trPr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36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86</w:t>
            </w:r>
          </w:p>
        </w:tc>
        <w:tc>
          <w:tcPr>
            <w:tcW w:w="8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86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51021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717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51021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717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510217" w:rsidRDefault="00B8748A" w:rsidP="00471C2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</w:tr>
    </w:tbl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>Of interest is to note the good success of Wellington over the 15 year period, by far the most successful province.</w:t>
      </w:r>
    </w:p>
    <w:p w:rsidR="00B8748A" w:rsidRPr="008006A1" w:rsidRDefault="00B8748A" w:rsidP="00B8748A">
      <w:pPr>
        <w:rPr>
          <w:snapToGrid w:val="0"/>
          <w:sz w:val="22"/>
          <w:szCs w:val="22"/>
        </w:rPr>
      </w:pPr>
      <w:r w:rsidRPr="00510217">
        <w:rPr>
          <w:snapToGrid w:val="0"/>
          <w:sz w:val="22"/>
          <w:szCs w:val="22"/>
          <w:highlight w:val="lightGray"/>
        </w:rPr>
        <w:t xml:space="preserve"> In contrast Canterbury and Central Districts are in a negative ratio.</w:t>
      </w:r>
    </w:p>
    <w:p w:rsidR="00B8748A" w:rsidRPr="008006A1" w:rsidRDefault="00B8748A" w:rsidP="00B8748A">
      <w:pPr>
        <w:rPr>
          <w:snapToGrid w:val="0"/>
          <w:sz w:val="22"/>
          <w:szCs w:val="22"/>
        </w:rPr>
      </w:pPr>
      <w:r w:rsidRPr="008006A1">
        <w:rPr>
          <w:snapToGrid w:val="0"/>
          <w:sz w:val="22"/>
          <w:szCs w:val="22"/>
        </w:rPr>
        <w:t xml:space="preserve">    </w:t>
      </w:r>
    </w:p>
    <w:p w:rsidR="00B8748A" w:rsidRPr="00510217" w:rsidRDefault="00B8748A" w:rsidP="00B8748A">
      <w:pPr>
        <w:rPr>
          <w:snapToGrid w:val="0"/>
        </w:rPr>
      </w:pPr>
      <w:r>
        <w:rPr>
          <w:snapToGrid w:val="0"/>
        </w:rPr>
        <w:t xml:space="preserve">  </w:t>
      </w:r>
    </w:p>
    <w:p w:rsidR="00B8748A" w:rsidRPr="00510217" w:rsidRDefault="00B8748A" w:rsidP="00B8748A">
      <w:pPr>
        <w:rPr>
          <w:b/>
          <w:snapToGrid w:val="0"/>
          <w:sz w:val="22"/>
          <w:szCs w:val="22"/>
          <w:highlight w:val="lightGray"/>
          <w:u w:val="single"/>
        </w:rPr>
      </w:pPr>
      <w:proofErr w:type="gramStart"/>
      <w:r w:rsidRPr="00510217">
        <w:rPr>
          <w:b/>
          <w:snapToGrid w:val="0"/>
          <w:sz w:val="22"/>
          <w:szCs w:val="22"/>
          <w:highlight w:val="lightGray"/>
          <w:u w:val="single"/>
        </w:rPr>
        <w:t>CONCLUSION.</w:t>
      </w:r>
      <w:proofErr w:type="gramEnd"/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      </w:t>
      </w: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se figures show some distinct phases in New Zealand cricket. </w:t>
      </w: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 period immediately after the World War 2 show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a dominance of bat over ball with </w:t>
      </w:r>
      <w:r w:rsidRPr="00510217">
        <w:rPr>
          <w:b/>
          <w:snapToGrid w:val="0"/>
          <w:sz w:val="22"/>
          <w:szCs w:val="22"/>
          <w:highlight w:val="lightGray"/>
        </w:rPr>
        <w:t>high scores, frequent centuries, high run rates</w:t>
      </w:r>
      <w:r w:rsidRPr="00510217">
        <w:rPr>
          <w:snapToGrid w:val="0"/>
          <w:sz w:val="22"/>
          <w:szCs w:val="22"/>
          <w:highlight w:val="lightGray"/>
        </w:rPr>
        <w:t xml:space="preserve">, </w:t>
      </w:r>
      <w:r w:rsidRPr="00510217">
        <w:rPr>
          <w:b/>
          <w:snapToGrid w:val="0"/>
          <w:sz w:val="22"/>
          <w:szCs w:val="22"/>
          <w:highlight w:val="lightGray"/>
        </w:rPr>
        <w:t>high rate of runs for every wicket taken</w:t>
      </w:r>
      <w:r w:rsidRPr="00510217">
        <w:rPr>
          <w:snapToGrid w:val="0"/>
          <w:sz w:val="22"/>
          <w:szCs w:val="22"/>
          <w:highlight w:val="lightGray"/>
        </w:rPr>
        <w:t>.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 number of outright wins also was at a high level although clearly the cricket played was in favour of the batsmen.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     This phase changed between </w:t>
      </w:r>
      <w:r w:rsidRPr="00510217">
        <w:rPr>
          <w:i/>
          <w:snapToGrid w:val="0"/>
          <w:sz w:val="22"/>
          <w:szCs w:val="22"/>
          <w:highlight w:val="lightGray"/>
        </w:rPr>
        <w:t>1956/57 and 1969/70</w:t>
      </w:r>
      <w:r w:rsidRPr="00510217">
        <w:rPr>
          <w:snapToGrid w:val="0"/>
          <w:sz w:val="22"/>
          <w:szCs w:val="22"/>
          <w:highlight w:val="lightGray"/>
        </w:rPr>
        <w:t xml:space="preserve"> when the reverse occurred and the ball began to dominate the bat. </w:t>
      </w: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 </w:t>
      </w:r>
    </w:p>
    <w:p w:rsidR="00B8748A" w:rsidRPr="00510217" w:rsidRDefault="00B8748A" w:rsidP="00B8748A">
      <w:pPr>
        <w:rPr>
          <w:b/>
          <w:snapToGrid w:val="0"/>
          <w:sz w:val="22"/>
          <w:szCs w:val="22"/>
          <w:highlight w:val="lightGray"/>
        </w:rPr>
      </w:pPr>
      <w:r w:rsidRPr="00510217">
        <w:rPr>
          <w:b/>
          <w:snapToGrid w:val="0"/>
          <w:sz w:val="22"/>
          <w:szCs w:val="22"/>
          <w:highlight w:val="lightGray"/>
        </w:rPr>
        <w:t>run rate was low, fewer scores over 300 and more scores under 100</w:t>
      </w:r>
      <w:r w:rsidRPr="00510217">
        <w:rPr>
          <w:snapToGrid w:val="0"/>
          <w:sz w:val="22"/>
          <w:szCs w:val="22"/>
          <w:highlight w:val="lightGray"/>
        </w:rPr>
        <w:t xml:space="preserve">, </w:t>
      </w:r>
      <w:r w:rsidRPr="00510217">
        <w:rPr>
          <w:b/>
          <w:snapToGrid w:val="0"/>
          <w:sz w:val="22"/>
          <w:szCs w:val="22"/>
          <w:highlight w:val="lightGray"/>
        </w:rPr>
        <w:t xml:space="preserve">fewer centuries, wickets taken more frequently,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b/>
          <w:snapToGrid w:val="0"/>
          <w:sz w:val="22"/>
          <w:szCs w:val="22"/>
          <w:highlight w:val="lightGray"/>
        </w:rPr>
        <w:t>fewer</w:t>
      </w:r>
      <w:proofErr w:type="gramEnd"/>
      <w:r w:rsidRPr="00510217">
        <w:rPr>
          <w:b/>
          <w:snapToGrid w:val="0"/>
          <w:sz w:val="22"/>
          <w:szCs w:val="22"/>
          <w:highlight w:val="lightGray"/>
        </w:rPr>
        <w:t xml:space="preserve"> runs per wicket</w:t>
      </w:r>
      <w:r w:rsidRPr="00510217">
        <w:rPr>
          <w:snapToGrid w:val="0"/>
          <w:sz w:val="22"/>
          <w:szCs w:val="22"/>
          <w:highlight w:val="lightGray"/>
        </w:rPr>
        <w:t xml:space="preserve"> and rather unexpectedly </w:t>
      </w:r>
      <w:r w:rsidRPr="00510217">
        <w:rPr>
          <w:b/>
          <w:snapToGrid w:val="0"/>
          <w:sz w:val="22"/>
          <w:szCs w:val="22"/>
          <w:highlight w:val="lightGray"/>
        </w:rPr>
        <w:t>fewer outright results</w:t>
      </w:r>
      <w:r w:rsidRPr="00510217">
        <w:rPr>
          <w:snapToGrid w:val="0"/>
          <w:sz w:val="22"/>
          <w:szCs w:val="22"/>
          <w:highlight w:val="lightGray"/>
        </w:rPr>
        <w:t xml:space="preserve"> achieved. </w:t>
      </w: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 cricket was said to be boring and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uninteresting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and comments in the Cricket Almanack at the time were critical of the defensive cricket being played and urged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players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to take a more positive approach to the game. In reality the change to 3 day cricket had not made the game in</w:t>
      </w:r>
    </w:p>
    <w:p w:rsidR="00B8748A" w:rsidRPr="00510217" w:rsidRDefault="00B8748A" w:rsidP="00B8748A">
      <w:pPr>
        <w:rPr>
          <w:b/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New Zealand more attractive, if anything the complete opposite.</w:t>
      </w:r>
      <w:proofErr w:type="gramEnd"/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     From </w:t>
      </w:r>
      <w:r w:rsidRPr="00510217">
        <w:rPr>
          <w:i/>
          <w:snapToGrid w:val="0"/>
          <w:sz w:val="22"/>
          <w:szCs w:val="22"/>
          <w:highlight w:val="lightGray"/>
        </w:rPr>
        <w:t>1970/71</w:t>
      </w:r>
      <w:r w:rsidRPr="00510217">
        <w:rPr>
          <w:snapToGrid w:val="0"/>
          <w:sz w:val="22"/>
          <w:szCs w:val="22"/>
          <w:highlight w:val="lightGray"/>
        </w:rPr>
        <w:t xml:space="preserve"> another phase appears with an </w:t>
      </w:r>
      <w:r w:rsidRPr="00510217">
        <w:rPr>
          <w:b/>
          <w:snapToGrid w:val="0"/>
          <w:sz w:val="22"/>
          <w:szCs w:val="22"/>
          <w:highlight w:val="lightGray"/>
        </w:rPr>
        <w:t>increase in run rate and centuries</w:t>
      </w:r>
      <w:r w:rsidRPr="00510217">
        <w:rPr>
          <w:snapToGrid w:val="0"/>
          <w:sz w:val="22"/>
          <w:szCs w:val="22"/>
          <w:highlight w:val="lightGray"/>
        </w:rPr>
        <w:t xml:space="preserve">, although the trend of bat dominating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ball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really takes off with the introduction of the Shell Cup competition in </w:t>
      </w:r>
      <w:r w:rsidRPr="00510217">
        <w:rPr>
          <w:i/>
          <w:snapToGrid w:val="0"/>
          <w:sz w:val="22"/>
          <w:szCs w:val="22"/>
          <w:highlight w:val="lightGray"/>
        </w:rPr>
        <w:t>1980.</w:t>
      </w:r>
      <w:r w:rsidRPr="00510217">
        <w:rPr>
          <w:snapToGrid w:val="0"/>
          <w:sz w:val="22"/>
          <w:szCs w:val="22"/>
          <w:highlight w:val="lightGray"/>
        </w:rPr>
        <w:t xml:space="preserve"> However unlike the situation in the 1950's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when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outright decisions were common, clearly a trend develops of </w:t>
      </w:r>
      <w:r w:rsidRPr="00510217">
        <w:rPr>
          <w:b/>
          <w:snapToGrid w:val="0"/>
          <w:sz w:val="22"/>
          <w:szCs w:val="22"/>
          <w:highlight w:val="lightGray"/>
        </w:rPr>
        <w:t>fewer results</w:t>
      </w:r>
      <w:r w:rsidRPr="00510217">
        <w:rPr>
          <w:snapToGrid w:val="0"/>
          <w:sz w:val="22"/>
          <w:szCs w:val="22"/>
          <w:highlight w:val="lightGray"/>
        </w:rPr>
        <w:t xml:space="preserve"> being obtained with this trend accelerating</w:t>
      </w:r>
    </w:p>
    <w:p w:rsidR="00B8748A" w:rsidRPr="00510217" w:rsidRDefault="00B8748A" w:rsidP="00B8748A">
      <w:pPr>
        <w:rPr>
          <w:b/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 </w:t>
      </w:r>
      <w:proofErr w:type="gramStart"/>
      <w:r w:rsidRPr="00510217">
        <w:rPr>
          <w:snapToGrid w:val="0"/>
          <w:sz w:val="22"/>
          <w:szCs w:val="22"/>
          <w:highlight w:val="lightGray"/>
        </w:rPr>
        <w:t>in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the late 1980's. </w:t>
      </w: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 introduction of 4 day cricket in </w:t>
      </w:r>
      <w:r w:rsidRPr="00510217">
        <w:rPr>
          <w:i/>
          <w:snapToGrid w:val="0"/>
          <w:sz w:val="22"/>
          <w:szCs w:val="22"/>
          <w:highlight w:val="lightGray"/>
        </w:rPr>
        <w:t>1992/93</w:t>
      </w:r>
      <w:r w:rsidRPr="00510217">
        <w:rPr>
          <w:snapToGrid w:val="0"/>
          <w:sz w:val="22"/>
          <w:szCs w:val="22"/>
          <w:highlight w:val="lightGray"/>
        </w:rPr>
        <w:t xml:space="preserve"> shows an </w:t>
      </w:r>
      <w:r w:rsidRPr="00510217">
        <w:rPr>
          <w:b/>
          <w:snapToGrid w:val="0"/>
          <w:sz w:val="22"/>
          <w:szCs w:val="22"/>
          <w:highlight w:val="lightGray"/>
        </w:rPr>
        <w:t xml:space="preserve">increase in outright decisions, an increase in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b/>
          <w:snapToGrid w:val="0"/>
          <w:sz w:val="22"/>
          <w:szCs w:val="22"/>
          <w:highlight w:val="lightGray"/>
        </w:rPr>
        <w:t>scores</w:t>
      </w:r>
      <w:proofErr w:type="gramEnd"/>
      <w:r w:rsidRPr="00510217">
        <w:rPr>
          <w:b/>
          <w:snapToGrid w:val="0"/>
          <w:sz w:val="22"/>
          <w:szCs w:val="22"/>
          <w:highlight w:val="lightGray"/>
        </w:rPr>
        <w:t xml:space="preserve"> over 300</w:t>
      </w:r>
      <w:r w:rsidRPr="00510217">
        <w:rPr>
          <w:snapToGrid w:val="0"/>
          <w:sz w:val="22"/>
          <w:szCs w:val="22"/>
          <w:highlight w:val="lightGray"/>
        </w:rPr>
        <w:t xml:space="preserve"> and a dramatic </w:t>
      </w:r>
      <w:r w:rsidRPr="00510217">
        <w:rPr>
          <w:b/>
          <w:snapToGrid w:val="0"/>
          <w:sz w:val="22"/>
          <w:szCs w:val="22"/>
          <w:highlight w:val="lightGray"/>
        </w:rPr>
        <w:t>fall in the number of declarations</w:t>
      </w:r>
      <w:r w:rsidRPr="00510217">
        <w:rPr>
          <w:snapToGrid w:val="0"/>
          <w:sz w:val="22"/>
          <w:szCs w:val="22"/>
          <w:highlight w:val="lightGray"/>
        </w:rPr>
        <w:t xml:space="preserve"> </w:t>
      </w:r>
      <w:r w:rsidRPr="00510217">
        <w:rPr>
          <w:b/>
          <w:snapToGrid w:val="0"/>
          <w:sz w:val="22"/>
          <w:szCs w:val="22"/>
          <w:highlight w:val="lightGray"/>
        </w:rPr>
        <w:t>slowing over the past two seasons.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      </w:t>
      </w: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re was concern in </w:t>
      </w:r>
      <w:r w:rsidRPr="00510217">
        <w:rPr>
          <w:i/>
          <w:snapToGrid w:val="0"/>
          <w:sz w:val="22"/>
          <w:szCs w:val="22"/>
          <w:highlight w:val="lightGray"/>
        </w:rPr>
        <w:t>1991</w:t>
      </w:r>
      <w:r w:rsidRPr="00510217">
        <w:rPr>
          <w:snapToGrid w:val="0"/>
          <w:sz w:val="22"/>
          <w:szCs w:val="22"/>
          <w:highlight w:val="lightGray"/>
        </w:rPr>
        <w:t xml:space="preserve"> that the change to 4 day cricket with the increase in playing time of the extra minimum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112 overs per match, later reduced in 1998/99 to an increase of 64 overs per match, would affect the style of cricket being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played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. </w:t>
      </w: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 belief was that batsmen would have a tendency to protect their wickets and consequently slow the run rate and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declarations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would still be required to achieve decisions.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     </w:t>
      </w: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re was also concern that the opportunities for all cricketers would be substantially reduced with fewer games being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played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. </w:t>
      </w:r>
      <w:proofErr w:type="gramStart"/>
      <w:r w:rsidRPr="00510217">
        <w:rPr>
          <w:snapToGrid w:val="0"/>
          <w:sz w:val="22"/>
          <w:szCs w:val="22"/>
          <w:highlight w:val="lightGray"/>
        </w:rPr>
        <w:t>eg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a batsman could expect a maximum of 12 innings (assuming one round followed by a final) as against the possible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20 innings under the 3 day cricket competition.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    Another belief by some administrators was that by simply increasing the playing time would not come to terms with some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of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the problems of the International game at that time, namely a heavy reliance on medium pace bowling and a paucity of spin </w:t>
      </w:r>
    </w:p>
    <w:p w:rsidR="00B8748A" w:rsidRPr="00510217" w:rsidRDefault="00B8748A" w:rsidP="00B8748A">
      <w:pPr>
        <w:rPr>
          <w:b/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bowlers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. </w:t>
      </w:r>
      <w:r w:rsidRPr="00510217">
        <w:rPr>
          <w:b/>
          <w:snapToGrid w:val="0"/>
          <w:sz w:val="22"/>
          <w:szCs w:val="22"/>
          <w:highlight w:val="lightGray"/>
        </w:rPr>
        <w:t>Some of those concerns have not materialised.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    Cricket statisticians in 1991 had shown that dating from around 1979 there had been a reduction in the use of spin at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Test level, but that the reduction in effectiveness of spin bowling as an attacking weapon was of much longer duration. </w:t>
      </w:r>
      <w:smartTag w:uri="urn:schemas-microsoft-com:office:smarttags" w:element="PersonName">
        <w:r w:rsidRPr="00510217">
          <w:rPr>
            <w:snapToGrid w:val="0"/>
            <w:sz w:val="22"/>
            <w:szCs w:val="22"/>
            <w:highlight w:val="lightGray"/>
          </w:rPr>
          <w:t>The</w:t>
        </w:r>
      </w:smartTag>
      <w:r w:rsidRPr="00510217">
        <w:rPr>
          <w:snapToGrid w:val="0"/>
          <w:sz w:val="22"/>
          <w:szCs w:val="22"/>
          <w:highlight w:val="lightGray"/>
        </w:rPr>
        <w:t xml:space="preserve">re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was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also concern that fast short pitched intimidatory bowling at Test level was ruining the game and if there was insistence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on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faster over rates with stiffer penalties a greater employment of spin bowlers might be seen as a consequence of that decision.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r w:rsidRPr="00510217">
        <w:rPr>
          <w:snapToGrid w:val="0"/>
          <w:sz w:val="22"/>
          <w:szCs w:val="22"/>
          <w:highlight w:val="lightGray"/>
        </w:rPr>
        <w:t xml:space="preserve">     In the light of those concerns expressed in 1991, it is interesting to look back on developments within the game over the </w:t>
      </w:r>
    </w:p>
    <w:p w:rsidR="00B8748A" w:rsidRPr="00510217" w:rsidRDefault="00B8748A" w:rsidP="00B8748A">
      <w:pPr>
        <w:rPr>
          <w:snapToGrid w:val="0"/>
          <w:sz w:val="22"/>
          <w:szCs w:val="22"/>
          <w:highlight w:val="lightGray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past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15 years and consider whether the introduction of 4 day cricket to New Zealand has been of benefit.  Clearly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510217">
        <w:rPr>
          <w:snapToGrid w:val="0"/>
          <w:sz w:val="22"/>
          <w:szCs w:val="22"/>
          <w:highlight w:val="lightGray"/>
        </w:rPr>
        <w:t>administrators</w:t>
      </w:r>
      <w:proofErr w:type="gramEnd"/>
      <w:r w:rsidRPr="00510217">
        <w:rPr>
          <w:snapToGrid w:val="0"/>
          <w:sz w:val="22"/>
          <w:szCs w:val="22"/>
          <w:highlight w:val="lightGray"/>
        </w:rPr>
        <w:t xml:space="preserve"> in New Zealand have had problems with the 4 day format with frequent changes being made in the early years</w:t>
      </w:r>
      <w:r w:rsidRPr="00205DCE">
        <w:rPr>
          <w:snapToGrid w:val="0"/>
          <w:sz w:val="22"/>
          <w:szCs w:val="22"/>
        </w:rPr>
        <w:t xml:space="preserve">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and</w:t>
      </w:r>
      <w:proofErr w:type="gramEnd"/>
      <w:r w:rsidRPr="00205DCE">
        <w:rPr>
          <w:snapToGrid w:val="0"/>
          <w:sz w:val="22"/>
          <w:szCs w:val="22"/>
        </w:rPr>
        <w:t xml:space="preserve"> observation would indicate that the public have not supported the new competition any better than the previous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3 day competition.</w:t>
      </w:r>
      <w:proofErr w:type="gramEnd"/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</w:t>
      </w:r>
      <w:r w:rsidRPr="00813AD0">
        <w:rPr>
          <w:snapToGrid w:val="0"/>
          <w:sz w:val="22"/>
          <w:szCs w:val="22"/>
        </w:rPr>
        <w:t>The increased number of first class matches in 2009/10 saw a rise in the number of players used to a new high. Four</w:t>
      </w:r>
    </w:p>
    <w:p w:rsidR="00B8748A" w:rsidRDefault="00B8748A" w:rsidP="00B8748A">
      <w:pPr>
        <w:rPr>
          <w:snapToGrid w:val="0"/>
          <w:sz w:val="22"/>
          <w:szCs w:val="22"/>
        </w:rPr>
      </w:pPr>
      <w:r w:rsidRPr="00813AD0">
        <w:rPr>
          <w:snapToGrid w:val="0"/>
          <w:sz w:val="22"/>
          <w:szCs w:val="22"/>
        </w:rPr>
        <w:t xml:space="preserve"> day cricket averages 110 players each season and three day averages 105 players, the difference reflecting how the </w:t>
      </w:r>
    </w:p>
    <w:p w:rsidR="00B8748A" w:rsidRDefault="00B8748A" w:rsidP="00B8748A">
      <w:pPr>
        <w:rPr>
          <w:snapToGrid w:val="0"/>
          <w:sz w:val="22"/>
          <w:szCs w:val="22"/>
        </w:rPr>
      </w:pPr>
      <w:proofErr w:type="gramStart"/>
      <w:r w:rsidRPr="00813AD0">
        <w:rPr>
          <w:snapToGrid w:val="0"/>
          <w:sz w:val="22"/>
          <w:szCs w:val="22"/>
        </w:rPr>
        <w:t>increase</w:t>
      </w:r>
      <w:proofErr w:type="gramEnd"/>
      <w:r w:rsidRPr="00813AD0">
        <w:rPr>
          <w:snapToGrid w:val="0"/>
          <w:sz w:val="22"/>
          <w:szCs w:val="22"/>
        </w:rPr>
        <w:t xml:space="preserve"> in International cricket has affected the </w:t>
      </w:r>
      <w:r>
        <w:rPr>
          <w:snapToGrid w:val="0"/>
          <w:sz w:val="22"/>
          <w:szCs w:val="22"/>
        </w:rPr>
        <w:t>composition of provincial teams and possibly there has been an increase</w:t>
      </w:r>
    </w:p>
    <w:p w:rsidR="00B8748A" w:rsidRPr="00813AD0" w:rsidRDefault="00B8748A" w:rsidP="00B8748A">
      <w:pPr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proofErr w:type="gramStart"/>
      <w:r>
        <w:rPr>
          <w:snapToGrid w:val="0"/>
          <w:sz w:val="22"/>
          <w:szCs w:val="22"/>
        </w:rPr>
        <w:t>number</w:t>
      </w:r>
      <w:proofErr w:type="gramEnd"/>
      <w:r>
        <w:rPr>
          <w:snapToGrid w:val="0"/>
          <w:sz w:val="22"/>
          <w:szCs w:val="22"/>
        </w:rPr>
        <w:t xml:space="preserve"> of injuries.</w:t>
      </w:r>
    </w:p>
    <w:p w:rsidR="00B8748A" w:rsidRPr="00813AD0" w:rsidRDefault="00B8748A" w:rsidP="00B8748A">
      <w:pPr>
        <w:rPr>
          <w:snapToGrid w:val="0"/>
          <w:sz w:val="22"/>
          <w:szCs w:val="22"/>
        </w:rPr>
      </w:pPr>
      <w:r w:rsidRPr="00813AD0">
        <w:rPr>
          <w:snapToGrid w:val="0"/>
          <w:sz w:val="22"/>
          <w:szCs w:val="22"/>
        </w:rPr>
        <w:t xml:space="preserve">   </w:t>
      </w:r>
      <w:r>
        <w:rPr>
          <w:snapToGrid w:val="0"/>
          <w:sz w:val="22"/>
          <w:szCs w:val="22"/>
        </w:rPr>
        <w:t xml:space="preserve"> </w:t>
      </w:r>
      <w:smartTag w:uri="urn:schemas-microsoft-com:office:smarttags" w:element="PersonName">
        <w:r w:rsidRPr="00813AD0">
          <w:rPr>
            <w:snapToGrid w:val="0"/>
            <w:sz w:val="22"/>
            <w:szCs w:val="22"/>
          </w:rPr>
          <w:t>The</w:t>
        </w:r>
      </w:smartTag>
      <w:r w:rsidRPr="00813AD0">
        <w:rPr>
          <w:snapToGrid w:val="0"/>
          <w:sz w:val="22"/>
          <w:szCs w:val="22"/>
        </w:rPr>
        <w:t xml:space="preserve"> one positive to emerge from the years of four day cricket has been the number of outright results obtained with a </w:t>
      </w:r>
    </w:p>
    <w:p w:rsidR="00B8748A" w:rsidRPr="00813AD0" w:rsidRDefault="00B8748A" w:rsidP="00B8748A">
      <w:pPr>
        <w:rPr>
          <w:snapToGrid w:val="0"/>
          <w:sz w:val="22"/>
          <w:szCs w:val="22"/>
        </w:rPr>
      </w:pPr>
      <w:proofErr w:type="gramStart"/>
      <w:r w:rsidRPr="00813AD0">
        <w:rPr>
          <w:snapToGrid w:val="0"/>
          <w:sz w:val="22"/>
          <w:szCs w:val="22"/>
        </w:rPr>
        <w:t>reduced</w:t>
      </w:r>
      <w:proofErr w:type="gramEnd"/>
      <w:r w:rsidRPr="00813AD0">
        <w:rPr>
          <w:snapToGrid w:val="0"/>
          <w:sz w:val="22"/>
          <w:szCs w:val="22"/>
        </w:rPr>
        <w:t xml:space="preserve"> need for declarations.</w:t>
      </w:r>
      <w:r>
        <w:rPr>
          <w:snapToGrid w:val="0"/>
          <w:sz w:val="22"/>
          <w:szCs w:val="22"/>
        </w:rPr>
        <w:t xml:space="preserve"> But with so many outrights </w:t>
      </w:r>
      <w:r w:rsidRPr="00813AD0">
        <w:rPr>
          <w:snapToGrid w:val="0"/>
          <w:sz w:val="22"/>
          <w:szCs w:val="22"/>
        </w:rPr>
        <w:t xml:space="preserve">(62%) finishing within 336 overs the question arises has the </w:t>
      </w:r>
    </w:p>
    <w:p w:rsidR="00B8748A" w:rsidRPr="00813AD0" w:rsidRDefault="00B8748A" w:rsidP="00B8748A">
      <w:pPr>
        <w:rPr>
          <w:snapToGrid w:val="0"/>
          <w:sz w:val="22"/>
          <w:szCs w:val="22"/>
        </w:rPr>
      </w:pPr>
      <w:proofErr w:type="gramStart"/>
      <w:r w:rsidRPr="00813AD0">
        <w:rPr>
          <w:snapToGrid w:val="0"/>
          <w:sz w:val="22"/>
          <w:szCs w:val="22"/>
        </w:rPr>
        <w:t>increased</w:t>
      </w:r>
      <w:proofErr w:type="gramEnd"/>
      <w:r w:rsidRPr="00813AD0">
        <w:rPr>
          <w:snapToGrid w:val="0"/>
          <w:sz w:val="22"/>
          <w:szCs w:val="22"/>
        </w:rPr>
        <w:t xml:space="preserve"> availability of cricket been put to good advantage, has the cricket played been of better quality, has it helped the </w:t>
      </w:r>
    </w:p>
    <w:p w:rsidR="00B8748A" w:rsidRDefault="00B8748A" w:rsidP="00B8748A">
      <w:pPr>
        <w:rPr>
          <w:snapToGrid w:val="0"/>
          <w:sz w:val="22"/>
          <w:szCs w:val="22"/>
        </w:rPr>
      </w:pPr>
      <w:proofErr w:type="gramStart"/>
      <w:r w:rsidRPr="00813AD0">
        <w:rPr>
          <w:snapToGrid w:val="0"/>
          <w:sz w:val="22"/>
          <w:szCs w:val="22"/>
        </w:rPr>
        <w:t>players</w:t>
      </w:r>
      <w:proofErr w:type="gramEnd"/>
      <w:r w:rsidRPr="00813AD0">
        <w:rPr>
          <w:snapToGrid w:val="0"/>
          <w:sz w:val="22"/>
          <w:szCs w:val="22"/>
        </w:rPr>
        <w:t xml:space="preserve"> more easily bridge the step up to International cricket, has</w:t>
      </w:r>
      <w:r>
        <w:rPr>
          <w:snapToGrid w:val="0"/>
          <w:sz w:val="22"/>
          <w:szCs w:val="22"/>
        </w:rPr>
        <w:t xml:space="preserve"> it encouraged greater use of </w:t>
      </w:r>
      <w:r w:rsidRPr="00813AD0">
        <w:rPr>
          <w:snapToGrid w:val="0"/>
          <w:sz w:val="22"/>
          <w:szCs w:val="22"/>
        </w:rPr>
        <w:t>spin bowlers</w:t>
      </w:r>
      <w:r>
        <w:rPr>
          <w:snapToGrid w:val="0"/>
          <w:sz w:val="22"/>
          <w:szCs w:val="22"/>
        </w:rPr>
        <w:t xml:space="preserve">, </w:t>
      </w:r>
      <w:r w:rsidRPr="00813AD0">
        <w:rPr>
          <w:snapToGrid w:val="0"/>
          <w:sz w:val="22"/>
          <w:szCs w:val="22"/>
        </w:rPr>
        <w:t xml:space="preserve">have the </w:t>
      </w:r>
    </w:p>
    <w:p w:rsidR="00B8748A" w:rsidRDefault="00B8748A" w:rsidP="00B8748A">
      <w:pPr>
        <w:rPr>
          <w:snapToGrid w:val="0"/>
          <w:sz w:val="22"/>
          <w:szCs w:val="22"/>
        </w:rPr>
      </w:pPr>
      <w:proofErr w:type="gramStart"/>
      <w:r w:rsidRPr="00813AD0">
        <w:rPr>
          <w:snapToGrid w:val="0"/>
          <w:sz w:val="22"/>
          <w:szCs w:val="22"/>
        </w:rPr>
        <w:t>players</w:t>
      </w:r>
      <w:proofErr w:type="gramEnd"/>
      <w:r w:rsidRPr="00813AD0">
        <w:rPr>
          <w:snapToGrid w:val="0"/>
          <w:sz w:val="22"/>
          <w:szCs w:val="22"/>
        </w:rPr>
        <w:t xml:space="preserve"> enjoyed the game more, have spectators shown greater interest, has the compet</w:t>
      </w:r>
      <w:r>
        <w:rPr>
          <w:snapToGrid w:val="0"/>
          <w:sz w:val="22"/>
          <w:szCs w:val="22"/>
        </w:rPr>
        <w:t>ition been more interesting and</w:t>
      </w:r>
    </w:p>
    <w:p w:rsidR="00B8748A" w:rsidRDefault="00B8748A" w:rsidP="00B8748A">
      <w:pPr>
        <w:rPr>
          <w:b/>
          <w:snapToGrid w:val="0"/>
          <w:sz w:val="24"/>
          <w:szCs w:val="24"/>
        </w:rPr>
      </w:pPr>
      <w:proofErr w:type="gramStart"/>
      <w:r w:rsidRPr="00813AD0">
        <w:rPr>
          <w:snapToGrid w:val="0"/>
          <w:sz w:val="22"/>
          <w:szCs w:val="22"/>
        </w:rPr>
        <w:t>more</w:t>
      </w:r>
      <w:proofErr w:type="gramEnd"/>
      <w:r w:rsidRPr="00813AD0">
        <w:rPr>
          <w:snapToGrid w:val="0"/>
          <w:sz w:val="22"/>
          <w:szCs w:val="22"/>
        </w:rPr>
        <w:t xml:space="preserve"> closely fought, have the teams been of more equal strength. </w:t>
      </w:r>
    </w:p>
    <w:p w:rsidR="00B8748A" w:rsidRDefault="00B8748A" w:rsidP="00B8748A"/>
    <w:p w:rsidR="00B8748A" w:rsidRDefault="00B8748A" w:rsidP="00B8748A"/>
    <w:p w:rsidR="00B8748A" w:rsidRDefault="00B8748A" w:rsidP="00B8748A">
      <w:pPr>
        <w:ind w:left="2880" w:firstLine="720"/>
        <w:rPr>
          <w:b/>
          <w:snapToGrid w:val="0"/>
          <w:sz w:val="28"/>
          <w:szCs w:val="28"/>
        </w:rPr>
      </w:pPr>
      <w:r w:rsidRPr="0020595E">
        <w:rPr>
          <w:b/>
          <w:snapToGrid w:val="0"/>
          <w:sz w:val="28"/>
          <w:szCs w:val="28"/>
        </w:rPr>
        <w:t>Provincial Results</w:t>
      </w:r>
    </w:p>
    <w:p w:rsidR="00B8748A" w:rsidRPr="0020595E" w:rsidRDefault="00B8748A" w:rsidP="00B8748A">
      <w:pPr>
        <w:ind w:left="3600" w:firstLine="720"/>
        <w:rPr>
          <w:b/>
          <w:snapToGrid w:val="0"/>
          <w:sz w:val="28"/>
          <w:szCs w:val="28"/>
        </w:rPr>
      </w:pPr>
    </w:p>
    <w:tbl>
      <w:tblPr>
        <w:tblW w:w="17777" w:type="dxa"/>
        <w:tblInd w:w="-15" w:type="dxa"/>
        <w:tblLook w:val="0000"/>
      </w:tblPr>
      <w:tblGrid>
        <w:gridCol w:w="11197"/>
        <w:gridCol w:w="620"/>
        <w:gridCol w:w="780"/>
        <w:gridCol w:w="1220"/>
        <w:gridCol w:w="560"/>
        <w:gridCol w:w="760"/>
        <w:gridCol w:w="1120"/>
        <w:gridCol w:w="560"/>
        <w:gridCol w:w="960"/>
      </w:tblGrid>
      <w:tr w:rsidR="00B8748A" w:rsidTr="00471C21">
        <w:trPr>
          <w:trHeight w:val="255"/>
        </w:trPr>
        <w:tc>
          <w:tcPr>
            <w:tcW w:w="1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Placings Four day cricket</w:t>
            </w:r>
          </w:p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</w:p>
          <w:tbl>
            <w:tblPr>
              <w:tblW w:w="10034" w:type="dxa"/>
              <w:tblLook w:val="04A0"/>
            </w:tblPr>
            <w:tblGrid>
              <w:gridCol w:w="505"/>
              <w:gridCol w:w="222"/>
              <w:gridCol w:w="1889"/>
              <w:gridCol w:w="222"/>
              <w:gridCol w:w="716"/>
              <w:gridCol w:w="222"/>
              <w:gridCol w:w="1739"/>
              <w:gridCol w:w="222"/>
              <w:gridCol w:w="1269"/>
              <w:gridCol w:w="222"/>
              <w:gridCol w:w="781"/>
              <w:gridCol w:w="676"/>
              <w:gridCol w:w="1193"/>
              <w:gridCol w:w="735"/>
              <w:gridCol w:w="368"/>
            </w:tblGrid>
            <w:tr w:rsidR="00B8748A" w:rsidRPr="00CB73D5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0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1995/96 to 1999/00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85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2000/01 to 2004/05</w:t>
                  </w:r>
                </w:p>
              </w:tc>
              <w:tc>
                <w:tcPr>
                  <w:tcW w:w="207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2005/506 to 2009/10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229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1995/96 to 2009/10</w:t>
                  </w:r>
                </w:p>
              </w:tc>
            </w:tr>
            <w:tr w:rsidR="00B8748A" w:rsidRPr="00CB73D5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19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18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37</w:t>
                  </w:r>
                </w:p>
              </w:tc>
              <w:tc>
                <w:tcPr>
                  <w:tcW w:w="3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</w:tr>
            <w:tr w:rsidR="00B8748A" w:rsidRPr="00934B69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19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55</w:t>
                  </w:r>
                </w:p>
              </w:tc>
              <w:tc>
                <w:tcPr>
                  <w:tcW w:w="3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</w:tr>
            <w:tr w:rsidR="00B8748A" w:rsidRPr="00CB73D5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16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17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56</w:t>
                  </w:r>
                </w:p>
              </w:tc>
              <w:tc>
                <w:tcPr>
                  <w:tcW w:w="3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</w:tr>
            <w:tr w:rsidR="00B8748A" w:rsidRPr="00CB73D5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17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51</w:t>
                  </w:r>
                </w:p>
              </w:tc>
              <w:tc>
                <w:tcPr>
                  <w:tcW w:w="3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</w:tr>
            <w:tr w:rsidR="00B8748A" w:rsidRPr="00CB73D5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18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22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22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62</w:t>
                  </w:r>
                </w:p>
              </w:tc>
              <w:tc>
                <w:tcPr>
                  <w:tcW w:w="3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</w:tr>
            <w:tr w:rsidR="00B8748A" w:rsidRPr="00CB73D5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20</w:t>
                  </w:r>
                </w:p>
              </w:tc>
              <w:tc>
                <w:tcPr>
                  <w:tcW w:w="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16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44</w:t>
                  </w:r>
                </w:p>
              </w:tc>
              <w:tc>
                <w:tcPr>
                  <w:tcW w:w="3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CB73D5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CB73D5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</w:tr>
          </w:tbl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</w:p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</w:p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</w:p>
          <w:p w:rsidR="00B8748A" w:rsidRPr="00391281" w:rsidRDefault="00B8748A" w:rsidP="00471C21">
            <w:pPr>
              <w:rPr>
                <w:rFonts w:ascii="Arial" w:hAnsi="Arial" w:cs="Arial"/>
                <w:b/>
                <w:bCs/>
              </w:rPr>
            </w:pPr>
            <w:r w:rsidRPr="00391281">
              <w:rPr>
                <w:rFonts w:ascii="Arial" w:hAnsi="Arial" w:cs="Arial"/>
                <w:b/>
                <w:bCs/>
              </w:rPr>
              <w:t>Placings One Day Cricket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748A" w:rsidRDefault="00B8748A" w:rsidP="00471C21"/>
        </w:tc>
      </w:tr>
    </w:tbl>
    <w:p w:rsidR="00B8748A" w:rsidRDefault="00B8748A" w:rsidP="00B8748A">
      <w:pPr>
        <w:rPr>
          <w:b/>
          <w:snapToGrid w:val="0"/>
        </w:rPr>
      </w:pPr>
    </w:p>
    <w:tbl>
      <w:tblPr>
        <w:tblW w:w="10034" w:type="dxa"/>
        <w:tblInd w:w="108" w:type="dxa"/>
        <w:tblLook w:val="04A0"/>
      </w:tblPr>
      <w:tblGrid>
        <w:gridCol w:w="505"/>
        <w:gridCol w:w="222"/>
        <w:gridCol w:w="1889"/>
        <w:gridCol w:w="222"/>
        <w:gridCol w:w="716"/>
        <w:gridCol w:w="222"/>
        <w:gridCol w:w="1739"/>
        <w:gridCol w:w="222"/>
        <w:gridCol w:w="1269"/>
        <w:gridCol w:w="222"/>
        <w:gridCol w:w="781"/>
        <w:gridCol w:w="676"/>
        <w:gridCol w:w="1193"/>
        <w:gridCol w:w="735"/>
        <w:gridCol w:w="368"/>
      </w:tblGrid>
      <w:tr w:rsidR="00B8748A" w:rsidRPr="00CB73D5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1995/96 to 1999/00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2000/01 to 2004/05</w:t>
            </w:r>
          </w:p>
        </w:tc>
        <w:tc>
          <w:tcPr>
            <w:tcW w:w="2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2005/506 to 2009/10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2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1995/96 to 2009/10</w:t>
            </w:r>
          </w:p>
        </w:tc>
      </w:tr>
      <w:tr w:rsidR="00B8748A" w:rsidRPr="00CB73D5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</w:tr>
      <w:tr w:rsidR="00B8748A" w:rsidRPr="00934B69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  <w:t>C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  <w:t>C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  <w:t>C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  <w:t>C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1</w:t>
            </w:r>
          </w:p>
        </w:tc>
      </w:tr>
      <w:tr w:rsidR="00B8748A" w:rsidRPr="00CB73D5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B8748A" w:rsidRPr="00CB73D5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B8748A" w:rsidRPr="00CB73D5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B8748A" w:rsidRPr="00CB73D5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B73D5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B73D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B73D5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</w:tbl>
    <w:p w:rsidR="00B8748A" w:rsidRDefault="00B8748A" w:rsidP="00B8748A">
      <w:pPr>
        <w:rPr>
          <w:b/>
          <w:snapToGrid w:val="0"/>
        </w:rPr>
      </w:pPr>
    </w:p>
    <w:p w:rsidR="00B8748A" w:rsidRPr="0024304B" w:rsidRDefault="00B8748A" w:rsidP="00B8748A">
      <w:pPr>
        <w:rPr>
          <w:snapToGrid w:val="0"/>
          <w:sz w:val="22"/>
          <w:szCs w:val="22"/>
        </w:rPr>
      </w:pPr>
      <w:r>
        <w:rPr>
          <w:b/>
          <w:snapToGrid w:val="0"/>
        </w:rPr>
        <w:t xml:space="preserve">     </w:t>
      </w:r>
      <w:r w:rsidRPr="0024304B">
        <w:rPr>
          <w:snapToGrid w:val="0"/>
          <w:sz w:val="22"/>
          <w:szCs w:val="22"/>
        </w:rPr>
        <w:t>The</w:t>
      </w:r>
      <w:r>
        <w:rPr>
          <w:snapToGrid w:val="0"/>
          <w:sz w:val="22"/>
          <w:szCs w:val="22"/>
        </w:rPr>
        <w:t xml:space="preserve">se tables </w:t>
      </w:r>
      <w:r w:rsidRPr="0024304B">
        <w:rPr>
          <w:snapToGrid w:val="0"/>
          <w:sz w:val="22"/>
          <w:szCs w:val="22"/>
        </w:rPr>
        <w:t>showing the aggregated final positions over a five year p</w:t>
      </w:r>
      <w:r>
        <w:rPr>
          <w:snapToGrid w:val="0"/>
          <w:sz w:val="22"/>
          <w:szCs w:val="22"/>
        </w:rPr>
        <w:t>eriod are</w:t>
      </w:r>
      <w:r w:rsidRPr="0024304B">
        <w:rPr>
          <w:snapToGrid w:val="0"/>
          <w:sz w:val="22"/>
          <w:szCs w:val="22"/>
        </w:rPr>
        <w:t xml:space="preserve"> a rough but reasonably accurate guide to</w:t>
      </w:r>
    </w:p>
    <w:p w:rsidR="00B8748A" w:rsidRPr="0024304B" w:rsidRDefault="00B8748A" w:rsidP="00B8748A">
      <w:pPr>
        <w:rPr>
          <w:snapToGrid w:val="0"/>
          <w:sz w:val="22"/>
          <w:szCs w:val="22"/>
        </w:rPr>
      </w:pPr>
      <w:r w:rsidRPr="0024304B">
        <w:rPr>
          <w:snapToGrid w:val="0"/>
          <w:sz w:val="22"/>
          <w:szCs w:val="22"/>
        </w:rPr>
        <w:t xml:space="preserve"> </w:t>
      </w:r>
      <w:proofErr w:type="gramStart"/>
      <w:r w:rsidRPr="0024304B">
        <w:rPr>
          <w:snapToGrid w:val="0"/>
          <w:sz w:val="22"/>
          <w:szCs w:val="22"/>
        </w:rPr>
        <w:t>the</w:t>
      </w:r>
      <w:proofErr w:type="gramEnd"/>
      <w:r w:rsidRPr="0024304B">
        <w:rPr>
          <w:snapToGrid w:val="0"/>
          <w:sz w:val="22"/>
          <w:szCs w:val="22"/>
        </w:rPr>
        <w:t xml:space="preserve"> success of each province over the various periods.   </w:t>
      </w:r>
      <w:proofErr w:type="gramStart"/>
      <w:r>
        <w:rPr>
          <w:snapToGrid w:val="0"/>
          <w:sz w:val="22"/>
          <w:szCs w:val="22"/>
        </w:rPr>
        <w:t>The lower the figure, the greater the success.</w:t>
      </w:r>
      <w:proofErr w:type="gramEnd"/>
    </w:p>
    <w:p w:rsidR="00B8748A" w:rsidRDefault="00B8748A" w:rsidP="00B8748A">
      <w:pPr>
        <w:rPr>
          <w:snapToGrid w:val="0"/>
          <w:sz w:val="22"/>
          <w:szCs w:val="22"/>
        </w:rPr>
      </w:pPr>
      <w:r w:rsidRPr="0024304B">
        <w:rPr>
          <w:snapToGrid w:val="0"/>
          <w:sz w:val="22"/>
          <w:szCs w:val="22"/>
        </w:rPr>
        <w:t xml:space="preserve">   </w:t>
      </w:r>
      <w:r>
        <w:rPr>
          <w:snapToGrid w:val="0"/>
          <w:sz w:val="22"/>
          <w:szCs w:val="22"/>
        </w:rPr>
        <w:t xml:space="preserve">  </w:t>
      </w:r>
      <w:r w:rsidRPr="0024304B">
        <w:rPr>
          <w:snapToGrid w:val="0"/>
          <w:sz w:val="22"/>
          <w:szCs w:val="22"/>
        </w:rPr>
        <w:t>Over the past 15 years Auckland has won the first class</w:t>
      </w:r>
      <w:r>
        <w:rPr>
          <w:snapToGrid w:val="0"/>
          <w:sz w:val="22"/>
          <w:szCs w:val="22"/>
        </w:rPr>
        <w:t xml:space="preserve"> competition on five</w:t>
      </w:r>
      <w:r w:rsidRPr="0024304B">
        <w:rPr>
          <w:snapToGrid w:val="0"/>
          <w:sz w:val="22"/>
          <w:szCs w:val="22"/>
        </w:rPr>
        <w:t xml:space="preserve"> occasions, Canterbury </w:t>
      </w:r>
      <w:r>
        <w:rPr>
          <w:snapToGrid w:val="0"/>
          <w:sz w:val="22"/>
          <w:szCs w:val="22"/>
        </w:rPr>
        <w:t>and Northern Districts</w:t>
      </w:r>
    </w:p>
    <w:p w:rsidR="00B8748A" w:rsidRDefault="00B8748A" w:rsidP="00B8748A">
      <w:pPr>
        <w:rPr>
          <w:snapToGrid w:val="0"/>
          <w:sz w:val="22"/>
          <w:szCs w:val="22"/>
        </w:rPr>
      </w:pPr>
      <w:proofErr w:type="gramStart"/>
      <w:r w:rsidRPr="0024304B">
        <w:rPr>
          <w:snapToGrid w:val="0"/>
          <w:sz w:val="22"/>
          <w:szCs w:val="22"/>
        </w:rPr>
        <w:t>on</w:t>
      </w:r>
      <w:proofErr w:type="gramEnd"/>
      <w:r w:rsidRPr="0024304B">
        <w:rPr>
          <w:snapToGrid w:val="0"/>
          <w:sz w:val="22"/>
          <w:szCs w:val="22"/>
        </w:rPr>
        <w:t xml:space="preserve"> three occasions</w:t>
      </w:r>
      <w:r>
        <w:rPr>
          <w:snapToGrid w:val="0"/>
          <w:sz w:val="22"/>
          <w:szCs w:val="22"/>
        </w:rPr>
        <w:t xml:space="preserve"> and </w:t>
      </w:r>
      <w:r w:rsidRPr="0024304B">
        <w:rPr>
          <w:snapToGrid w:val="0"/>
          <w:sz w:val="22"/>
          <w:szCs w:val="22"/>
        </w:rPr>
        <w:t>Central Districts and Wellington twice. Wellington and Aucklan</w:t>
      </w:r>
      <w:r>
        <w:rPr>
          <w:snapToGrid w:val="0"/>
          <w:sz w:val="22"/>
          <w:szCs w:val="22"/>
        </w:rPr>
        <w:t xml:space="preserve">d have been the dominant teams, </w:t>
      </w:r>
    </w:p>
    <w:p w:rsidR="00B8748A" w:rsidRDefault="00B8748A" w:rsidP="00B8748A">
      <w:pPr>
        <w:rPr>
          <w:snapToGrid w:val="0"/>
          <w:sz w:val="22"/>
          <w:szCs w:val="22"/>
        </w:rPr>
      </w:pPr>
      <w:proofErr w:type="gramStart"/>
      <w:r>
        <w:rPr>
          <w:snapToGrid w:val="0"/>
          <w:sz w:val="22"/>
          <w:szCs w:val="22"/>
        </w:rPr>
        <w:t>particularly</w:t>
      </w:r>
      <w:proofErr w:type="gramEnd"/>
      <w:r>
        <w:rPr>
          <w:snapToGrid w:val="0"/>
          <w:sz w:val="22"/>
          <w:szCs w:val="22"/>
        </w:rPr>
        <w:t xml:space="preserve"> in the period from 2000/01 to 2004/05. </w:t>
      </w:r>
      <w:r w:rsidRPr="0024304B">
        <w:rPr>
          <w:snapToGrid w:val="0"/>
          <w:sz w:val="22"/>
          <w:szCs w:val="22"/>
        </w:rPr>
        <w:t xml:space="preserve">Otago has been near the bottom in all periods. Canterbury </w:t>
      </w:r>
      <w:r>
        <w:rPr>
          <w:snapToGrid w:val="0"/>
          <w:sz w:val="22"/>
          <w:szCs w:val="22"/>
        </w:rPr>
        <w:t xml:space="preserve">has been last on </w:t>
      </w:r>
    </w:p>
    <w:p w:rsidR="00B8748A" w:rsidRPr="0024304B" w:rsidRDefault="00B8748A" w:rsidP="00B8748A">
      <w:pPr>
        <w:rPr>
          <w:snapToGrid w:val="0"/>
          <w:sz w:val="22"/>
          <w:szCs w:val="22"/>
        </w:rPr>
      </w:pPr>
      <w:proofErr w:type="gramStart"/>
      <w:r>
        <w:rPr>
          <w:snapToGrid w:val="0"/>
          <w:sz w:val="22"/>
          <w:szCs w:val="22"/>
        </w:rPr>
        <w:t>five</w:t>
      </w:r>
      <w:proofErr w:type="gramEnd"/>
      <w:r>
        <w:rPr>
          <w:snapToGrid w:val="0"/>
          <w:sz w:val="22"/>
          <w:szCs w:val="22"/>
        </w:rPr>
        <w:t xml:space="preserve"> occasions.</w:t>
      </w:r>
    </w:p>
    <w:p w:rsidR="00B8748A" w:rsidRPr="0024304B" w:rsidRDefault="00B8748A" w:rsidP="00B8748A">
      <w:pPr>
        <w:rPr>
          <w:snapToGrid w:val="0"/>
          <w:sz w:val="22"/>
          <w:szCs w:val="22"/>
        </w:rPr>
      </w:pPr>
      <w:r w:rsidRPr="0024304B">
        <w:rPr>
          <w:snapToGrid w:val="0"/>
          <w:sz w:val="22"/>
          <w:szCs w:val="22"/>
        </w:rPr>
        <w:t xml:space="preserve">  </w:t>
      </w:r>
      <w:r>
        <w:rPr>
          <w:snapToGrid w:val="0"/>
          <w:sz w:val="22"/>
          <w:szCs w:val="22"/>
        </w:rPr>
        <w:t xml:space="preserve">  </w:t>
      </w:r>
      <w:smartTag w:uri="urn:schemas-microsoft-com:office:smarttags" w:element="PersonName">
        <w:r w:rsidRPr="0024304B">
          <w:rPr>
            <w:snapToGrid w:val="0"/>
            <w:sz w:val="22"/>
            <w:szCs w:val="22"/>
          </w:rPr>
          <w:t>The</w:t>
        </w:r>
      </w:smartTag>
      <w:r w:rsidRPr="0024304B">
        <w:rPr>
          <w:snapToGrid w:val="0"/>
          <w:sz w:val="22"/>
          <w:szCs w:val="22"/>
        </w:rPr>
        <w:t xml:space="preserve"> interesting aspect is to compare these results for one day cricket over a similar period. Canterbury is clearly the</w:t>
      </w:r>
    </w:p>
    <w:p w:rsidR="00B8748A" w:rsidRDefault="00B8748A" w:rsidP="00B8748A">
      <w:pPr>
        <w:rPr>
          <w:snapToGrid w:val="0"/>
          <w:sz w:val="22"/>
          <w:szCs w:val="22"/>
        </w:rPr>
      </w:pPr>
      <w:proofErr w:type="gramStart"/>
      <w:r w:rsidRPr="0024304B">
        <w:rPr>
          <w:snapToGrid w:val="0"/>
          <w:sz w:val="22"/>
          <w:szCs w:val="22"/>
        </w:rPr>
        <w:t>leading</w:t>
      </w:r>
      <w:proofErr w:type="gramEnd"/>
      <w:r w:rsidRPr="0024304B">
        <w:rPr>
          <w:snapToGrid w:val="0"/>
          <w:sz w:val="22"/>
          <w:szCs w:val="22"/>
        </w:rPr>
        <w:t xml:space="preserve"> team </w:t>
      </w:r>
      <w:r>
        <w:rPr>
          <w:snapToGrid w:val="0"/>
          <w:sz w:val="22"/>
          <w:szCs w:val="22"/>
        </w:rPr>
        <w:t>and along with Northern Districts have</w:t>
      </w:r>
      <w:r w:rsidRPr="0024304B">
        <w:rPr>
          <w:snapToGrid w:val="0"/>
          <w:sz w:val="22"/>
          <w:szCs w:val="22"/>
        </w:rPr>
        <w:t xml:space="preserve"> won the competition on five occasions</w:t>
      </w:r>
      <w:r>
        <w:rPr>
          <w:snapToGrid w:val="0"/>
          <w:sz w:val="22"/>
          <w:szCs w:val="22"/>
        </w:rPr>
        <w:t xml:space="preserve">, but Canterbury’s last victory was in 2005/06. </w:t>
      </w:r>
    </w:p>
    <w:p w:rsidR="00B8748A" w:rsidRDefault="00B8748A" w:rsidP="00B8748A">
      <w:pPr>
        <w:rPr>
          <w:snapToGrid w:val="0"/>
          <w:sz w:val="22"/>
          <w:szCs w:val="22"/>
        </w:rPr>
      </w:pPr>
      <w:r w:rsidRPr="0024304B">
        <w:rPr>
          <w:snapToGrid w:val="0"/>
          <w:sz w:val="22"/>
          <w:szCs w:val="22"/>
        </w:rPr>
        <w:t xml:space="preserve">Otago has improved over the past five years and is the leading team for that period.  Auckland has had </w:t>
      </w:r>
      <w:r>
        <w:rPr>
          <w:snapToGrid w:val="0"/>
          <w:sz w:val="22"/>
          <w:szCs w:val="22"/>
        </w:rPr>
        <w:t>l</w:t>
      </w:r>
      <w:r w:rsidRPr="0024304B">
        <w:rPr>
          <w:snapToGrid w:val="0"/>
          <w:sz w:val="22"/>
          <w:szCs w:val="22"/>
        </w:rPr>
        <w:t xml:space="preserve">ittle success and has </w:t>
      </w:r>
    </w:p>
    <w:p w:rsidR="00B8748A" w:rsidRPr="0024304B" w:rsidRDefault="00B8748A" w:rsidP="00B8748A">
      <w:pPr>
        <w:rPr>
          <w:snapToGrid w:val="0"/>
          <w:sz w:val="22"/>
          <w:szCs w:val="22"/>
        </w:rPr>
      </w:pPr>
      <w:proofErr w:type="gramStart"/>
      <w:r w:rsidRPr="0024304B">
        <w:rPr>
          <w:snapToGrid w:val="0"/>
          <w:sz w:val="22"/>
          <w:szCs w:val="22"/>
        </w:rPr>
        <w:t>only</w:t>
      </w:r>
      <w:proofErr w:type="gramEnd"/>
      <w:r w:rsidRPr="0024304B">
        <w:rPr>
          <w:snapToGrid w:val="0"/>
          <w:sz w:val="22"/>
          <w:szCs w:val="22"/>
        </w:rPr>
        <w:t xml:space="preserve"> one victory</w:t>
      </w:r>
      <w:r>
        <w:rPr>
          <w:snapToGrid w:val="0"/>
          <w:sz w:val="22"/>
          <w:szCs w:val="22"/>
        </w:rPr>
        <w:t xml:space="preserve"> over the 15 years</w:t>
      </w:r>
      <w:r w:rsidRPr="0024304B">
        <w:rPr>
          <w:snapToGrid w:val="0"/>
          <w:sz w:val="22"/>
          <w:szCs w:val="22"/>
        </w:rPr>
        <w:t xml:space="preserve">. This is in contrast with its performance at the longer game. </w:t>
      </w:r>
    </w:p>
    <w:p w:rsidR="00B8748A" w:rsidRDefault="00B8748A" w:rsidP="00B8748A">
      <w:pPr>
        <w:rPr>
          <w:snapToGrid w:val="0"/>
        </w:rPr>
      </w:pPr>
    </w:p>
    <w:p w:rsidR="00B8748A" w:rsidRDefault="00B8748A" w:rsidP="00B8748A">
      <w:pPr>
        <w:rPr>
          <w:snapToGrid w:val="0"/>
        </w:rPr>
      </w:pPr>
    </w:p>
    <w:p w:rsidR="00B8748A" w:rsidRPr="00E87BED" w:rsidRDefault="00B8748A" w:rsidP="00B8748A">
      <w:pPr>
        <w:rPr>
          <w:rFonts w:ascii="Arial" w:hAnsi="Arial" w:cs="Arial"/>
          <w:b/>
          <w:snapToGrid w:val="0"/>
        </w:rPr>
      </w:pPr>
      <w:r w:rsidRPr="00E87BED">
        <w:rPr>
          <w:rFonts w:ascii="Arial" w:hAnsi="Arial" w:cs="Arial"/>
          <w:b/>
          <w:snapToGrid w:val="0"/>
        </w:rPr>
        <w:t>Centuries</w:t>
      </w:r>
    </w:p>
    <w:tbl>
      <w:tblPr>
        <w:tblW w:w="29792" w:type="dxa"/>
        <w:tblInd w:w="-15" w:type="dxa"/>
        <w:tblLook w:val="0000"/>
      </w:tblPr>
      <w:tblGrid>
        <w:gridCol w:w="11050"/>
        <w:gridCol w:w="474"/>
        <w:gridCol w:w="700"/>
        <w:gridCol w:w="1120"/>
        <w:gridCol w:w="620"/>
        <w:gridCol w:w="803"/>
        <w:gridCol w:w="544"/>
        <w:gridCol w:w="676"/>
        <w:gridCol w:w="560"/>
        <w:gridCol w:w="803"/>
        <w:gridCol w:w="1120"/>
        <w:gridCol w:w="560"/>
        <w:gridCol w:w="960"/>
        <w:gridCol w:w="1052"/>
        <w:gridCol w:w="482"/>
        <w:gridCol w:w="1492"/>
        <w:gridCol w:w="880"/>
        <w:gridCol w:w="820"/>
        <w:gridCol w:w="861"/>
        <w:gridCol w:w="975"/>
        <w:gridCol w:w="740"/>
        <w:gridCol w:w="529"/>
        <w:gridCol w:w="600"/>
        <w:gridCol w:w="1371"/>
      </w:tblGrid>
      <w:tr w:rsidR="00B8748A" w:rsidTr="00471C21">
        <w:trPr>
          <w:trHeight w:val="255"/>
        </w:trPr>
        <w:tc>
          <w:tcPr>
            <w:tcW w:w="153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032" w:type="dxa"/>
              <w:tblLook w:val="04A0"/>
            </w:tblPr>
            <w:tblGrid>
              <w:gridCol w:w="505"/>
              <w:gridCol w:w="1177"/>
              <w:gridCol w:w="812"/>
              <w:gridCol w:w="222"/>
              <w:gridCol w:w="694"/>
              <w:gridCol w:w="641"/>
              <w:gridCol w:w="641"/>
              <w:gridCol w:w="222"/>
              <w:gridCol w:w="1016"/>
              <w:gridCol w:w="939"/>
              <w:gridCol w:w="696"/>
              <w:gridCol w:w="222"/>
              <w:gridCol w:w="985"/>
              <w:gridCol w:w="910"/>
              <w:gridCol w:w="1056"/>
            </w:tblGrid>
            <w:tr w:rsidR="00B8748A" w:rsidRPr="00E87BED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0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1995/96 to 1999/00</w:t>
                  </w:r>
                </w:p>
              </w:tc>
              <w:tc>
                <w:tcPr>
                  <w:tcW w:w="197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2000/01 to 2004/05</w:t>
                  </w:r>
                </w:p>
              </w:tc>
              <w:tc>
                <w:tcPr>
                  <w:tcW w:w="197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    </w:t>
                  </w: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2005/506 to 2009/10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9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</w:t>
                  </w: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1995/96 to 2009/10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B8748A" w:rsidRPr="00E87BED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      </w:t>
                  </w: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For </w:t>
                  </w:r>
                </w:p>
              </w:tc>
              <w:tc>
                <w:tcPr>
                  <w:tcW w:w="8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Against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For </w:t>
                  </w:r>
                </w:p>
              </w:tc>
              <w:tc>
                <w:tcPr>
                  <w:tcW w:w="6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Against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   </w:t>
                  </w: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For </w:t>
                  </w:r>
                </w:p>
              </w:tc>
              <w:tc>
                <w:tcPr>
                  <w:tcW w:w="71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Against</w:t>
                  </w: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  </w:t>
                  </w: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For 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Against</w:t>
                  </w:r>
                </w:p>
              </w:tc>
            </w:tr>
            <w:tr w:rsidR="00B8748A" w:rsidRPr="00E87BED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38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29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38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37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88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79</w:t>
                  </w:r>
                </w:p>
              </w:tc>
            </w:tr>
            <w:tr w:rsidR="00B8748A" w:rsidRPr="00E87BED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8409C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8409C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17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8409C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8409C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29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8409C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8409C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46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39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8409C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8409C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90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85</w:t>
                  </w:r>
                </w:p>
              </w:tc>
            </w:tr>
            <w:tr w:rsidR="00B8748A" w:rsidRPr="00E87BED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20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30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30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56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95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106</w:t>
                  </w:r>
                </w:p>
              </w:tc>
            </w:tr>
            <w:tr w:rsidR="00B8748A" w:rsidRPr="00E87BED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14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25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38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38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67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76</w:t>
                  </w:r>
                </w:p>
              </w:tc>
            </w:tr>
            <w:tr w:rsidR="00B8748A" w:rsidRPr="00E87BED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19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14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24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48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77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93</w:t>
                  </w:r>
                </w:p>
              </w:tc>
            </w:tr>
            <w:tr w:rsidR="00B8748A" w:rsidRPr="00E87BED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17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29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49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29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95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73</w:t>
                  </w:r>
                </w:p>
              </w:tc>
            </w:tr>
            <w:tr w:rsidR="00B8748A" w:rsidRPr="00E87BED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  <w:t>98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  <w:t>98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lang w:val="en-NZ" w:eastAsia="en-NZ"/>
                    </w:rPr>
                  </w:pP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lang w:val="en-NZ" w:eastAsia="en-NZ"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  <w:t>167</w:t>
                  </w: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  <w:t>167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lang w:val="en-NZ" w:eastAsia="en-NZ"/>
                    </w:rPr>
                  </w:pP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lang w:val="en-NZ" w:eastAsia="en-NZ"/>
                    </w:rPr>
                  </w:pP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  <w:t>247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  <w:t>247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rPr>
                      <w:rFonts w:ascii="Arial" w:hAnsi="Arial" w:cs="Arial"/>
                      <w:b/>
                      <w:lang w:val="en-NZ" w:eastAsia="en-NZ"/>
                    </w:rPr>
                  </w:pP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  <w:t>512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E87BED" w:rsidRDefault="00B8748A" w:rsidP="00471C2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</w:pPr>
                  <w:r w:rsidRPr="00E87BED">
                    <w:rPr>
                      <w:rFonts w:ascii="Arial" w:hAnsi="Arial" w:cs="Arial"/>
                      <w:b/>
                      <w:sz w:val="16"/>
                      <w:szCs w:val="16"/>
                      <w:lang w:val="en-NZ" w:eastAsia="en-NZ"/>
                    </w:rPr>
                    <w:t>512</w:t>
                  </w:r>
                </w:p>
              </w:tc>
            </w:tr>
          </w:tbl>
          <w:p w:rsidR="00B8748A" w:rsidRDefault="00B8748A" w:rsidP="00471C21">
            <w:pPr>
              <w:rPr>
                <w:rFonts w:ascii="Arial" w:hAnsi="Arial" w:cs="Arial"/>
              </w:rPr>
            </w:pPr>
          </w:p>
          <w:p w:rsidR="00B8748A" w:rsidRDefault="00B8748A" w:rsidP="00471C21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C82983">
              <w:rPr>
                <w:sz w:val="22"/>
                <w:szCs w:val="22"/>
              </w:rPr>
              <w:t>Canterbury has been in positive ratio over the past 10 years</w:t>
            </w:r>
            <w:r>
              <w:rPr>
                <w:sz w:val="22"/>
                <w:szCs w:val="22"/>
              </w:rPr>
              <w:t xml:space="preserve">, with particular success over the last five years. Over the 15 year </w:t>
            </w:r>
          </w:p>
          <w:p w:rsidR="00B8748A" w:rsidRDefault="00B8748A" w:rsidP="00471C2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period</w:t>
            </w:r>
            <w:proofErr w:type="gramEnd"/>
            <w:r>
              <w:rPr>
                <w:sz w:val="22"/>
                <w:szCs w:val="22"/>
              </w:rPr>
              <w:t xml:space="preserve"> they are second to Wellington.</w:t>
            </w:r>
          </w:p>
          <w:p w:rsidR="00B8748A" w:rsidRPr="00C82983" w:rsidRDefault="00B8748A" w:rsidP="00471C21">
            <w:pPr>
              <w:rPr>
                <w:sz w:val="22"/>
                <w:szCs w:val="22"/>
              </w:rPr>
            </w:pPr>
          </w:p>
          <w:p w:rsidR="00B8748A" w:rsidRDefault="00B8748A" w:rsidP="00471C21">
            <w:pPr>
              <w:rPr>
                <w:rFonts w:ascii="Arial" w:hAnsi="Arial" w:cs="Arial"/>
              </w:rPr>
            </w:pPr>
          </w:p>
          <w:p w:rsidR="00B8748A" w:rsidRPr="00B6286D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62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B6286D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8748A" w:rsidTr="00471C21">
        <w:trPr>
          <w:gridAfter w:val="10"/>
          <w:wAfter w:w="8750" w:type="dxa"/>
          <w:trHeight w:val="255"/>
        </w:trPr>
        <w:tc>
          <w:tcPr>
            <w:tcW w:w="1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Outrights</w:t>
            </w:r>
          </w:p>
          <w:tbl>
            <w:tblPr>
              <w:tblW w:w="10113" w:type="dxa"/>
              <w:tblLook w:val="04A0"/>
            </w:tblPr>
            <w:tblGrid>
              <w:gridCol w:w="505"/>
              <w:gridCol w:w="1177"/>
              <w:gridCol w:w="812"/>
              <w:gridCol w:w="222"/>
              <w:gridCol w:w="788"/>
              <w:gridCol w:w="703"/>
              <w:gridCol w:w="576"/>
              <w:gridCol w:w="227"/>
              <w:gridCol w:w="1033"/>
              <w:gridCol w:w="922"/>
              <w:gridCol w:w="696"/>
              <w:gridCol w:w="222"/>
              <w:gridCol w:w="985"/>
              <w:gridCol w:w="910"/>
              <w:gridCol w:w="1056"/>
            </w:tblGrid>
            <w:tr w:rsidR="00B8748A" w:rsidRPr="00744012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0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1995/96 to 1999/00</w:t>
                  </w:r>
                </w:p>
              </w:tc>
              <w:tc>
                <w:tcPr>
                  <w:tcW w:w="205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2000/01 to 2004/05</w:t>
                  </w:r>
                </w:p>
              </w:tc>
              <w:tc>
                <w:tcPr>
                  <w:tcW w:w="19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    </w:t>
                  </w: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2005/506 to 2009/10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9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   </w:t>
                  </w: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1995/96 to 2009/10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B8748A" w:rsidRPr="00744012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For </w:t>
                  </w:r>
                </w:p>
              </w:tc>
              <w:tc>
                <w:tcPr>
                  <w:tcW w:w="8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Against</w:t>
                  </w: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For </w:t>
                  </w:r>
                </w:p>
              </w:tc>
              <w:tc>
                <w:tcPr>
                  <w:tcW w:w="5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Against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For </w:t>
                  </w:r>
                </w:p>
              </w:tc>
              <w:tc>
                <w:tcPr>
                  <w:tcW w:w="71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Against</w:t>
                  </w: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For 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Against</w:t>
                  </w:r>
                </w:p>
              </w:tc>
            </w:tr>
            <w:tr w:rsidR="00B8748A" w:rsidRPr="00744012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14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A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46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37</w:t>
                  </w:r>
                </w:p>
              </w:tc>
            </w:tr>
            <w:tr w:rsidR="00B8748A" w:rsidRPr="00744012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8409C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8409C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8409C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8409C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17</w:t>
                  </w:r>
                </w:p>
              </w:tc>
              <w:tc>
                <w:tcPr>
                  <w:tcW w:w="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8409C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8409C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8409C9" w:rsidRDefault="00B8748A" w:rsidP="00471C21">
                  <w:pPr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</w:pPr>
                  <w:r w:rsidRPr="008409C9">
                    <w:rPr>
                      <w:rFonts w:ascii="Arial" w:hAnsi="Arial" w:cs="Arial"/>
                      <w:b/>
                      <w:bCs/>
                      <w:color w:val="FF0D0D"/>
                      <w:lang w:val="en-NZ" w:eastAsia="en-NZ"/>
                    </w:rPr>
                    <w:t>C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36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934B69" w:rsidRDefault="00B8748A" w:rsidP="00471C21">
                  <w:pPr>
                    <w:jc w:val="center"/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</w:pPr>
                  <w:r w:rsidRPr="00934B69">
                    <w:rPr>
                      <w:rFonts w:ascii="Arial" w:hAnsi="Arial" w:cs="Arial"/>
                      <w:b/>
                      <w:color w:val="FF0D0D"/>
                      <w:sz w:val="16"/>
                      <w:szCs w:val="16"/>
                      <w:lang w:val="en-NZ" w:eastAsia="en-NZ"/>
                    </w:rPr>
                    <w:t>39</w:t>
                  </w:r>
                </w:p>
              </w:tc>
            </w:tr>
            <w:tr w:rsidR="00B8748A" w:rsidRPr="00744012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18</w:t>
                  </w:r>
                </w:p>
              </w:tc>
              <w:tc>
                <w:tcPr>
                  <w:tcW w:w="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CD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D0468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D0468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36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D0468D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D0468D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</w:tr>
            <w:tr w:rsidR="00B8748A" w:rsidRPr="00744012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16</w:t>
                  </w:r>
                </w:p>
              </w:tc>
              <w:tc>
                <w:tcPr>
                  <w:tcW w:w="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ND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41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39</w:t>
                  </w:r>
                </w:p>
              </w:tc>
            </w:tr>
            <w:tr w:rsidR="00B8748A" w:rsidRPr="00744012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14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O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30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46</w:t>
                  </w:r>
                </w:p>
              </w:tc>
            </w:tr>
            <w:tr w:rsidR="00B8748A" w:rsidRPr="00744012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20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</w:t>
                  </w:r>
                </w:p>
              </w:tc>
              <w:tc>
                <w:tcPr>
                  <w:tcW w:w="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W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45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</w:tr>
            <w:tr w:rsidR="00B8748A" w:rsidRPr="00744012" w:rsidTr="00471C21">
              <w:trPr>
                <w:trHeight w:val="255"/>
              </w:trPr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72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72</w:t>
                  </w:r>
                </w:p>
              </w:tc>
              <w:tc>
                <w:tcPr>
                  <w:tcW w:w="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87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87</w:t>
                  </w:r>
                </w:p>
              </w:tc>
              <w:tc>
                <w:tcPr>
                  <w:tcW w:w="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75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744012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75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234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48A" w:rsidRPr="00744012" w:rsidRDefault="00B8748A" w:rsidP="00471C2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234</w:t>
                  </w:r>
                </w:p>
              </w:tc>
            </w:tr>
          </w:tbl>
          <w:p w:rsidR="00B8748A" w:rsidRDefault="00B8748A" w:rsidP="00471C21">
            <w:pPr>
              <w:rPr>
                <w:rFonts w:ascii="Arial" w:hAnsi="Arial" w:cs="Arial"/>
                <w:b/>
                <w:bCs/>
              </w:rPr>
            </w:pPr>
          </w:p>
          <w:p w:rsidR="00B8748A" w:rsidRPr="00926EC8" w:rsidRDefault="00B8748A" w:rsidP="00471C21">
            <w:pPr>
              <w:rPr>
                <w:bCs/>
                <w:sz w:val="22"/>
                <w:szCs w:val="22"/>
              </w:rPr>
            </w:pPr>
            <w:r w:rsidRPr="00926EC8">
              <w:rPr>
                <w:bCs/>
                <w:sz w:val="22"/>
                <w:szCs w:val="22"/>
              </w:rPr>
              <w:t xml:space="preserve">Wellington is the most successful province over the 15 years </w:t>
            </w:r>
            <w:r>
              <w:rPr>
                <w:bCs/>
                <w:sz w:val="22"/>
                <w:szCs w:val="22"/>
              </w:rPr>
              <w:t xml:space="preserve">and along with Auckland has had the most successful period </w:t>
            </w:r>
            <w:r w:rsidRPr="00926EC8">
              <w:rPr>
                <w:bCs/>
                <w:sz w:val="22"/>
                <w:szCs w:val="22"/>
              </w:rPr>
              <w:t>between 2000/2001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26EC8">
              <w:rPr>
                <w:bCs/>
                <w:sz w:val="22"/>
                <w:szCs w:val="22"/>
              </w:rPr>
              <w:t>and 2004/05.</w:t>
            </w:r>
            <w:r>
              <w:rPr>
                <w:bCs/>
                <w:sz w:val="22"/>
                <w:szCs w:val="22"/>
              </w:rPr>
              <w:t xml:space="preserve"> At the same time period Canterbury had little success.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</w:tr>
    </w:tbl>
    <w:p w:rsidR="00B8748A" w:rsidRDefault="00B8748A" w:rsidP="00B8748A">
      <w:pPr>
        <w:rPr>
          <w:b/>
          <w:snapToGrid w:val="0"/>
          <w:sz w:val="24"/>
          <w:szCs w:val="24"/>
        </w:rPr>
      </w:pPr>
    </w:p>
    <w:p w:rsidR="00B8748A" w:rsidRDefault="00B8748A" w:rsidP="00B8748A">
      <w:pPr>
        <w:rPr>
          <w:b/>
          <w:snapToGrid w:val="0"/>
          <w:sz w:val="24"/>
          <w:szCs w:val="24"/>
        </w:rPr>
      </w:pPr>
    </w:p>
    <w:p w:rsidR="00B8748A" w:rsidRDefault="00B8748A" w:rsidP="00B8748A">
      <w:pPr>
        <w:rPr>
          <w:b/>
          <w:snapToGrid w:val="0"/>
          <w:sz w:val="24"/>
          <w:szCs w:val="24"/>
        </w:rPr>
      </w:pPr>
    </w:p>
    <w:p w:rsidR="00B8748A" w:rsidRDefault="00B8748A" w:rsidP="00B8748A">
      <w:pPr>
        <w:rPr>
          <w:b/>
          <w:snapToGrid w:val="0"/>
          <w:sz w:val="24"/>
          <w:szCs w:val="24"/>
        </w:rPr>
      </w:pPr>
    </w:p>
    <w:p w:rsidR="00B8748A" w:rsidRDefault="00B8748A" w:rsidP="00B8748A">
      <w:pPr>
        <w:rPr>
          <w:b/>
          <w:snapToGrid w:val="0"/>
          <w:sz w:val="24"/>
          <w:szCs w:val="24"/>
        </w:rPr>
      </w:pPr>
    </w:p>
    <w:tbl>
      <w:tblPr>
        <w:tblW w:w="0" w:type="auto"/>
        <w:tblInd w:w="-13" w:type="dxa"/>
        <w:tblLook w:val="0000"/>
      </w:tblPr>
      <w:tblGrid>
        <w:gridCol w:w="175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B8748A" w:rsidTr="00471C2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  <w:b/>
                <w:bCs/>
              </w:rPr>
            </w:pPr>
            <w:r w:rsidRPr="00391281">
              <w:rPr>
                <w:rFonts w:ascii="Arial" w:hAnsi="Arial" w:cs="Arial"/>
                <w:b/>
                <w:bCs/>
              </w:rPr>
              <w:t>Scores over 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391281" w:rsidRDefault="00B8748A" w:rsidP="00471C21">
            <w:pPr>
              <w:rPr>
                <w:rFonts w:ascii="Arial" w:hAnsi="Arial" w:cs="Arial"/>
              </w:rPr>
            </w:pPr>
          </w:p>
        </w:tc>
      </w:tr>
    </w:tbl>
    <w:p w:rsidR="00B8748A" w:rsidRDefault="00B8748A" w:rsidP="00B8748A">
      <w:pPr>
        <w:rPr>
          <w:snapToGrid w:val="0"/>
        </w:rPr>
      </w:pPr>
    </w:p>
    <w:tbl>
      <w:tblPr>
        <w:tblW w:w="10032" w:type="dxa"/>
        <w:tblInd w:w="108" w:type="dxa"/>
        <w:tblLook w:val="04A0"/>
      </w:tblPr>
      <w:tblGrid>
        <w:gridCol w:w="505"/>
        <w:gridCol w:w="1177"/>
        <w:gridCol w:w="812"/>
        <w:gridCol w:w="222"/>
        <w:gridCol w:w="694"/>
        <w:gridCol w:w="641"/>
        <w:gridCol w:w="641"/>
        <w:gridCol w:w="222"/>
        <w:gridCol w:w="1016"/>
        <w:gridCol w:w="939"/>
        <w:gridCol w:w="696"/>
        <w:gridCol w:w="222"/>
        <w:gridCol w:w="985"/>
        <w:gridCol w:w="910"/>
        <w:gridCol w:w="1056"/>
      </w:tblGrid>
      <w:tr w:rsidR="00B8748A" w:rsidRPr="00C82983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1995/96 to 1999/00</w:t>
            </w:r>
          </w:p>
        </w:tc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2000/01 to 2004/05</w:t>
            </w:r>
          </w:p>
        </w:tc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   </w:t>
            </w: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2005/506 to 2009/10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     </w:t>
            </w: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1995/96 to 2009/10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C82983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For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</w:tr>
      <w:tr w:rsidR="00B8748A" w:rsidRPr="00C82983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</w:tr>
      <w:tr w:rsidR="00B8748A" w:rsidRPr="00C82983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  <w:t>C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  <w:t>C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  <w:t>C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bCs/>
                <w:color w:val="FF0D0D"/>
                <w:lang w:val="en-NZ" w:eastAsia="en-NZ"/>
              </w:rPr>
              <w:t>C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8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8"/>
                <w:szCs w:val="16"/>
                <w:lang w:val="en-NZ" w:eastAsia="en-NZ"/>
              </w:rPr>
              <w:t>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34B69" w:rsidRDefault="00B8748A" w:rsidP="00471C21">
            <w:pPr>
              <w:jc w:val="center"/>
              <w:rPr>
                <w:rFonts w:ascii="Arial" w:hAnsi="Arial" w:cs="Arial"/>
                <w:b/>
                <w:color w:val="FF0D0D"/>
                <w:sz w:val="18"/>
                <w:szCs w:val="16"/>
                <w:lang w:val="en-NZ" w:eastAsia="en-NZ"/>
              </w:rPr>
            </w:pPr>
            <w:r w:rsidRPr="00934B69">
              <w:rPr>
                <w:rFonts w:ascii="Arial" w:hAnsi="Arial" w:cs="Arial"/>
                <w:b/>
                <w:color w:val="FF0D0D"/>
                <w:sz w:val="18"/>
                <w:szCs w:val="16"/>
                <w:lang w:val="en-NZ" w:eastAsia="en-NZ"/>
              </w:rPr>
              <w:t>77</w:t>
            </w:r>
          </w:p>
        </w:tc>
      </w:tr>
      <w:tr w:rsidR="00B8748A" w:rsidRPr="00C82983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</w:tr>
      <w:tr w:rsidR="00B8748A" w:rsidRPr="00C82983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</w:tr>
      <w:tr w:rsidR="00B8748A" w:rsidRPr="00C82983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</w:tr>
      <w:tr w:rsidR="00B8748A" w:rsidRPr="00C82983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</w:tr>
      <w:tr w:rsidR="00B8748A" w:rsidRPr="00C82983" w:rsidTr="00471C21">
        <w:trPr>
          <w:trHeight w:val="25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C82983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8298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402</w:t>
            </w:r>
          </w:p>
        </w:tc>
      </w:tr>
    </w:tbl>
    <w:p w:rsidR="00B8748A" w:rsidRDefault="00B8748A" w:rsidP="00B8748A">
      <w:pPr>
        <w:rPr>
          <w:snapToGrid w:val="0"/>
          <w:lang w:val="en-NZ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  <w:r w:rsidRPr="0064597C">
        <w:rPr>
          <w:snapToGrid w:val="0"/>
        </w:rPr>
        <w:t xml:space="preserve"> </w:t>
      </w:r>
      <w:r>
        <w:rPr>
          <w:snapToGrid w:val="0"/>
        </w:rPr>
        <w:t xml:space="preserve"> </w:t>
      </w:r>
      <w:r>
        <w:rPr>
          <w:snapToGrid w:val="0"/>
          <w:sz w:val="22"/>
          <w:szCs w:val="22"/>
        </w:rPr>
        <w:t xml:space="preserve">Of </w:t>
      </w:r>
      <w:r w:rsidRPr="008006A1">
        <w:rPr>
          <w:snapToGrid w:val="0"/>
          <w:sz w:val="22"/>
          <w:szCs w:val="22"/>
        </w:rPr>
        <w:t xml:space="preserve">interest </w:t>
      </w:r>
      <w:r>
        <w:rPr>
          <w:snapToGrid w:val="0"/>
          <w:sz w:val="22"/>
          <w:szCs w:val="22"/>
        </w:rPr>
        <w:t xml:space="preserve">is </w:t>
      </w:r>
      <w:r w:rsidRPr="008006A1">
        <w:rPr>
          <w:snapToGrid w:val="0"/>
          <w:sz w:val="22"/>
          <w:szCs w:val="22"/>
        </w:rPr>
        <w:t xml:space="preserve">to note the </w:t>
      </w:r>
      <w:r>
        <w:rPr>
          <w:snapToGrid w:val="0"/>
          <w:sz w:val="22"/>
          <w:szCs w:val="22"/>
        </w:rPr>
        <w:t>good success of Wellington over the 15 year period, by far the most successful province.</w:t>
      </w:r>
    </w:p>
    <w:p w:rsidR="00B8748A" w:rsidRPr="008006A1" w:rsidRDefault="00B8748A" w:rsidP="00B8748A">
      <w:pPr>
        <w:rPr>
          <w:snapToGrid w:val="0"/>
          <w:sz w:val="22"/>
          <w:szCs w:val="22"/>
        </w:rPr>
      </w:pPr>
      <w:r w:rsidRPr="008006A1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>In contrast Canterbury and Central Districts are in a negative ratio.</w:t>
      </w:r>
    </w:p>
    <w:p w:rsidR="00B8748A" w:rsidRPr="008006A1" w:rsidRDefault="00B8748A" w:rsidP="00B8748A">
      <w:pPr>
        <w:rPr>
          <w:snapToGrid w:val="0"/>
          <w:sz w:val="22"/>
          <w:szCs w:val="22"/>
        </w:rPr>
      </w:pPr>
      <w:r w:rsidRPr="008006A1">
        <w:rPr>
          <w:snapToGrid w:val="0"/>
          <w:sz w:val="22"/>
          <w:szCs w:val="22"/>
        </w:rPr>
        <w:t xml:space="preserve">    </w:t>
      </w:r>
    </w:p>
    <w:p w:rsidR="00B8748A" w:rsidRDefault="00B8748A" w:rsidP="00B8748A">
      <w:pPr>
        <w:rPr>
          <w:snapToGrid w:val="0"/>
        </w:rPr>
      </w:pPr>
      <w:r>
        <w:rPr>
          <w:snapToGrid w:val="0"/>
        </w:rPr>
        <w:t xml:space="preserve">  </w:t>
      </w:r>
      <w:r>
        <w:rPr>
          <w:snapToGrid w:val="0"/>
        </w:rPr>
        <w:tab/>
      </w:r>
    </w:p>
    <w:p w:rsidR="00B8748A" w:rsidRPr="007573A2" w:rsidRDefault="00B8748A" w:rsidP="00B8748A">
      <w:pPr>
        <w:rPr>
          <w:snapToGrid w:val="0"/>
        </w:rPr>
      </w:pPr>
    </w:p>
    <w:p w:rsidR="00B8748A" w:rsidRPr="007573A2" w:rsidRDefault="00B8748A" w:rsidP="00B8748A">
      <w:pPr>
        <w:tabs>
          <w:tab w:val="left" w:pos="14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Home and Away 2004/05 to 2009/10</w:t>
      </w:r>
    </w:p>
    <w:p w:rsidR="00B8748A" w:rsidRDefault="00B8748A" w:rsidP="00B874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0469" w:type="dxa"/>
        <w:tblInd w:w="93" w:type="dxa"/>
        <w:tblLook w:val="04A0"/>
      </w:tblPr>
      <w:tblGrid>
        <w:gridCol w:w="620"/>
        <w:gridCol w:w="795"/>
        <w:gridCol w:w="640"/>
        <w:gridCol w:w="795"/>
        <w:gridCol w:w="634"/>
        <w:gridCol w:w="661"/>
        <w:gridCol w:w="634"/>
        <w:gridCol w:w="661"/>
        <w:gridCol w:w="634"/>
        <w:gridCol w:w="661"/>
        <w:gridCol w:w="634"/>
        <w:gridCol w:w="795"/>
        <w:gridCol w:w="634"/>
        <w:gridCol w:w="720"/>
        <w:gridCol w:w="880"/>
        <w:gridCol w:w="768"/>
      </w:tblGrid>
      <w:tr w:rsidR="00B8748A" w:rsidRPr="00205DCE" w:rsidTr="00471C21">
        <w:trPr>
          <w:trHeight w:val="25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2004/05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lang w:val="en-NZ" w:eastAsia="en-NZ"/>
              </w:rPr>
            </w:pPr>
            <w:r w:rsidRPr="00205DCE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lang w:val="en-NZ" w:eastAsia="en-NZ"/>
              </w:rPr>
            </w:pPr>
            <w:r w:rsidRPr="00205DCE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205DCE" w:rsidTr="00471C21">
        <w:trPr>
          <w:trHeight w:val="25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Neutral</w:t>
            </w:r>
          </w:p>
        </w:tc>
      </w:tr>
      <w:tr w:rsidR="00B8748A" w:rsidRPr="00205DCE" w:rsidTr="00471C21">
        <w:trPr>
          <w:trHeight w:val="2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B8748A" w:rsidRPr="00205DCE" w:rsidTr="00471C21">
        <w:trPr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lang w:val="en-NZ" w:eastAsia="en-NZ"/>
              </w:rPr>
              <w:t xml:space="preserve">C                                                                                 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B8748A" w:rsidRPr="00205DCE" w:rsidTr="00471C21">
        <w:trPr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lang w:val="en-NZ" w:eastAsia="en-NZ"/>
              </w:rPr>
              <w:t xml:space="preserve">CD                                                                                 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B8748A" w:rsidRPr="00205DCE" w:rsidTr="00471C21">
        <w:trPr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B8748A" w:rsidRPr="00205DCE" w:rsidTr="00471C21">
        <w:trPr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8409C9" w:rsidRDefault="00B8748A" w:rsidP="00471C2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NZ" w:eastAsia="en-NZ"/>
              </w:rPr>
            </w:pPr>
            <w:r w:rsidRPr="008409C9">
              <w:rPr>
                <w:rFonts w:ascii="Arial" w:hAnsi="Arial" w:cs="Arial"/>
                <w:b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B8748A" w:rsidRPr="00205DCE" w:rsidTr="00471C21">
        <w:trPr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B8748A" w:rsidRPr="00205DCE" w:rsidTr="00471C21">
        <w:trPr>
          <w:trHeight w:val="25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48A" w:rsidRPr="00205DCE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05DCE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</w:tbl>
    <w:p w:rsidR="00B8748A" w:rsidRDefault="00B8748A" w:rsidP="00B8748A">
      <w:pPr>
        <w:rPr>
          <w:rFonts w:ascii="Arial" w:hAnsi="Arial" w:cs="Arial"/>
        </w:rPr>
      </w:pP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This table analyses success on the basis of home and away matches. It shows that </w:t>
      </w:r>
      <w:r>
        <w:rPr>
          <w:snapToGrid w:val="0"/>
          <w:sz w:val="22"/>
          <w:szCs w:val="22"/>
        </w:rPr>
        <w:t>Auckland and Otago have more victories at home than the other four provinces and that there is a 54% advantage for the home team.</w:t>
      </w:r>
    </w:p>
    <w:p w:rsidR="00B8748A" w:rsidRDefault="00B8748A" w:rsidP="00B8748A">
      <w:pPr>
        <w:rPr>
          <w:b/>
          <w:snapToGrid w:val="0"/>
          <w:u w:val="single"/>
        </w:rPr>
      </w:pPr>
    </w:p>
    <w:p w:rsidR="00B8748A" w:rsidRDefault="00B8748A" w:rsidP="00B8748A">
      <w:pPr>
        <w:rPr>
          <w:b/>
          <w:snapToGrid w:val="0"/>
          <w:u w:val="single"/>
        </w:rPr>
      </w:pPr>
    </w:p>
    <w:p w:rsidR="00B8748A" w:rsidRDefault="00B8748A" w:rsidP="00B8748A">
      <w:pPr>
        <w:rPr>
          <w:b/>
          <w:snapToGrid w:val="0"/>
          <w:u w:val="single"/>
        </w:rPr>
      </w:pPr>
    </w:p>
    <w:p w:rsidR="00B8748A" w:rsidRPr="00205DCE" w:rsidRDefault="00B8748A" w:rsidP="00B8748A">
      <w:pPr>
        <w:rPr>
          <w:b/>
          <w:snapToGrid w:val="0"/>
          <w:sz w:val="22"/>
          <w:szCs w:val="22"/>
          <w:u w:val="single"/>
        </w:rPr>
      </w:pPr>
      <w:proofErr w:type="gramStart"/>
      <w:r w:rsidRPr="00205DCE">
        <w:rPr>
          <w:b/>
          <w:snapToGrid w:val="0"/>
          <w:sz w:val="22"/>
          <w:szCs w:val="22"/>
          <w:u w:val="single"/>
        </w:rPr>
        <w:t>CONCLUSION.</w:t>
      </w:r>
      <w:proofErr w:type="gramEnd"/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     </w:t>
      </w:r>
      <w:r>
        <w:rPr>
          <w:snapToGrid w:val="0"/>
          <w:sz w:val="22"/>
          <w:szCs w:val="22"/>
        </w:rPr>
        <w:t xml:space="preserve"> </w:t>
      </w: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se figures show some distinct phases in New Zealand cricket. </w:t>
      </w: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 period immediately after the World War 2 show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a dominance of bat over ball with </w:t>
      </w:r>
      <w:r w:rsidRPr="00205DCE">
        <w:rPr>
          <w:b/>
          <w:snapToGrid w:val="0"/>
          <w:sz w:val="22"/>
          <w:szCs w:val="22"/>
        </w:rPr>
        <w:t>high scores, frequent centuries, high run rates</w:t>
      </w:r>
      <w:r w:rsidRPr="00205DCE">
        <w:rPr>
          <w:snapToGrid w:val="0"/>
          <w:sz w:val="22"/>
          <w:szCs w:val="22"/>
        </w:rPr>
        <w:t xml:space="preserve">, </w:t>
      </w:r>
      <w:r w:rsidRPr="00205DCE">
        <w:rPr>
          <w:b/>
          <w:snapToGrid w:val="0"/>
          <w:sz w:val="22"/>
          <w:szCs w:val="22"/>
        </w:rPr>
        <w:t>high rate of runs for every wicket taken</w:t>
      </w:r>
      <w:r w:rsidRPr="00205DCE">
        <w:rPr>
          <w:snapToGrid w:val="0"/>
          <w:sz w:val="22"/>
          <w:szCs w:val="22"/>
        </w:rPr>
        <w:t>.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 number of outright wins also was at a high level although clearly the cricket played was in favour of the batsmen.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    </w:t>
      </w:r>
      <w:r>
        <w:rPr>
          <w:snapToGrid w:val="0"/>
          <w:sz w:val="22"/>
          <w:szCs w:val="22"/>
        </w:rPr>
        <w:t xml:space="preserve"> </w:t>
      </w:r>
      <w:r w:rsidRPr="00205DCE">
        <w:rPr>
          <w:snapToGrid w:val="0"/>
          <w:sz w:val="22"/>
          <w:szCs w:val="22"/>
        </w:rPr>
        <w:t xml:space="preserve">This phase changed between </w:t>
      </w:r>
      <w:r w:rsidRPr="00205DCE">
        <w:rPr>
          <w:i/>
          <w:snapToGrid w:val="0"/>
          <w:sz w:val="22"/>
          <w:szCs w:val="22"/>
        </w:rPr>
        <w:t>1956/57 and 1969/70</w:t>
      </w:r>
      <w:r w:rsidRPr="00205DCE">
        <w:rPr>
          <w:snapToGrid w:val="0"/>
          <w:sz w:val="22"/>
          <w:szCs w:val="22"/>
        </w:rPr>
        <w:t xml:space="preserve"> when the reverse occurred and the ball began to dominate the bat. </w:t>
      </w: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 </w:t>
      </w:r>
    </w:p>
    <w:p w:rsidR="00B8748A" w:rsidRPr="00205DCE" w:rsidRDefault="00B8748A" w:rsidP="00B8748A">
      <w:pPr>
        <w:rPr>
          <w:b/>
          <w:snapToGrid w:val="0"/>
          <w:sz w:val="22"/>
          <w:szCs w:val="22"/>
        </w:rPr>
      </w:pPr>
      <w:r w:rsidRPr="00205DCE">
        <w:rPr>
          <w:b/>
          <w:snapToGrid w:val="0"/>
          <w:sz w:val="22"/>
          <w:szCs w:val="22"/>
        </w:rPr>
        <w:t>run rate was low, fewer scores over 300 and more scores under 100</w:t>
      </w:r>
      <w:r w:rsidRPr="00205DCE">
        <w:rPr>
          <w:snapToGrid w:val="0"/>
          <w:sz w:val="22"/>
          <w:szCs w:val="22"/>
        </w:rPr>
        <w:t xml:space="preserve">, </w:t>
      </w:r>
      <w:r w:rsidRPr="00205DCE">
        <w:rPr>
          <w:b/>
          <w:snapToGrid w:val="0"/>
          <w:sz w:val="22"/>
          <w:szCs w:val="22"/>
        </w:rPr>
        <w:t xml:space="preserve">fewer centuries, wickets taken more frequently,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b/>
          <w:snapToGrid w:val="0"/>
          <w:sz w:val="22"/>
          <w:szCs w:val="22"/>
        </w:rPr>
        <w:t>fewer</w:t>
      </w:r>
      <w:proofErr w:type="gramEnd"/>
      <w:r w:rsidRPr="00205DCE">
        <w:rPr>
          <w:b/>
          <w:snapToGrid w:val="0"/>
          <w:sz w:val="22"/>
          <w:szCs w:val="22"/>
        </w:rPr>
        <w:t xml:space="preserve"> runs per wicket</w:t>
      </w:r>
      <w:r w:rsidRPr="00205DCE">
        <w:rPr>
          <w:snapToGrid w:val="0"/>
          <w:sz w:val="22"/>
          <w:szCs w:val="22"/>
        </w:rPr>
        <w:t xml:space="preserve"> and rather unexpectedly </w:t>
      </w:r>
      <w:r w:rsidRPr="00205DCE">
        <w:rPr>
          <w:b/>
          <w:snapToGrid w:val="0"/>
          <w:sz w:val="22"/>
          <w:szCs w:val="22"/>
        </w:rPr>
        <w:t>fewer outright results</w:t>
      </w:r>
      <w:r w:rsidRPr="00205DCE">
        <w:rPr>
          <w:snapToGrid w:val="0"/>
          <w:sz w:val="22"/>
          <w:szCs w:val="22"/>
        </w:rPr>
        <w:t xml:space="preserve"> achieved. </w:t>
      </w: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 cricket was said to be boring and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uninteresting</w:t>
      </w:r>
      <w:proofErr w:type="gramEnd"/>
      <w:r w:rsidRPr="00205DCE">
        <w:rPr>
          <w:snapToGrid w:val="0"/>
          <w:sz w:val="22"/>
          <w:szCs w:val="22"/>
        </w:rPr>
        <w:t xml:space="preserve"> and comments in the Cricket Almanack at the time were critical of the defensive cricket being played and urged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players</w:t>
      </w:r>
      <w:proofErr w:type="gramEnd"/>
      <w:r w:rsidRPr="00205DCE">
        <w:rPr>
          <w:snapToGrid w:val="0"/>
          <w:sz w:val="22"/>
          <w:szCs w:val="22"/>
        </w:rPr>
        <w:t xml:space="preserve"> to take a more positive approach to the game. In reality the change to 3 day cricket had not made the game in</w:t>
      </w:r>
    </w:p>
    <w:p w:rsidR="00B8748A" w:rsidRPr="00205DCE" w:rsidRDefault="00B8748A" w:rsidP="00B8748A">
      <w:pPr>
        <w:rPr>
          <w:b/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New Zealand more attractive, if anything the complete opposite.</w:t>
      </w:r>
      <w:proofErr w:type="gramEnd"/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   </w:t>
      </w:r>
      <w:r>
        <w:rPr>
          <w:snapToGrid w:val="0"/>
          <w:sz w:val="22"/>
          <w:szCs w:val="22"/>
        </w:rPr>
        <w:t xml:space="preserve">  </w:t>
      </w:r>
      <w:r w:rsidRPr="00205DCE">
        <w:rPr>
          <w:snapToGrid w:val="0"/>
          <w:sz w:val="22"/>
          <w:szCs w:val="22"/>
        </w:rPr>
        <w:t xml:space="preserve">From </w:t>
      </w:r>
      <w:r w:rsidRPr="00205DCE">
        <w:rPr>
          <w:i/>
          <w:snapToGrid w:val="0"/>
          <w:sz w:val="22"/>
          <w:szCs w:val="22"/>
        </w:rPr>
        <w:t>1970/71</w:t>
      </w:r>
      <w:r w:rsidRPr="00205DCE">
        <w:rPr>
          <w:snapToGrid w:val="0"/>
          <w:sz w:val="22"/>
          <w:szCs w:val="22"/>
        </w:rPr>
        <w:t xml:space="preserve"> another phase appears with an </w:t>
      </w:r>
      <w:r w:rsidRPr="00205DCE">
        <w:rPr>
          <w:b/>
          <w:snapToGrid w:val="0"/>
          <w:sz w:val="22"/>
          <w:szCs w:val="22"/>
        </w:rPr>
        <w:t>increase in run rate and centuries</w:t>
      </w:r>
      <w:r w:rsidRPr="00205DCE">
        <w:rPr>
          <w:snapToGrid w:val="0"/>
          <w:sz w:val="22"/>
          <w:szCs w:val="22"/>
        </w:rPr>
        <w:t xml:space="preserve">, although the trend of bat dominating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ball</w:t>
      </w:r>
      <w:proofErr w:type="gramEnd"/>
      <w:r w:rsidRPr="00205DCE">
        <w:rPr>
          <w:snapToGrid w:val="0"/>
          <w:sz w:val="22"/>
          <w:szCs w:val="22"/>
        </w:rPr>
        <w:t xml:space="preserve"> really takes off with the introduction of the Shell Cup competition in </w:t>
      </w:r>
      <w:r w:rsidRPr="00205DCE">
        <w:rPr>
          <w:i/>
          <w:snapToGrid w:val="0"/>
          <w:sz w:val="22"/>
          <w:szCs w:val="22"/>
        </w:rPr>
        <w:t>1980.</w:t>
      </w:r>
      <w:r w:rsidRPr="00205DCE">
        <w:rPr>
          <w:snapToGrid w:val="0"/>
          <w:sz w:val="22"/>
          <w:szCs w:val="22"/>
        </w:rPr>
        <w:t xml:space="preserve"> However unlike the situation in the 1950's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when</w:t>
      </w:r>
      <w:proofErr w:type="gramEnd"/>
      <w:r w:rsidRPr="00205DCE">
        <w:rPr>
          <w:snapToGrid w:val="0"/>
          <w:sz w:val="22"/>
          <w:szCs w:val="22"/>
        </w:rPr>
        <w:t xml:space="preserve"> outright decisions were common, clearly a trend develops of </w:t>
      </w:r>
      <w:r w:rsidRPr="00205DCE">
        <w:rPr>
          <w:b/>
          <w:snapToGrid w:val="0"/>
          <w:sz w:val="22"/>
          <w:szCs w:val="22"/>
        </w:rPr>
        <w:t>fewer results</w:t>
      </w:r>
      <w:r w:rsidRPr="00205DCE">
        <w:rPr>
          <w:snapToGrid w:val="0"/>
          <w:sz w:val="22"/>
          <w:szCs w:val="22"/>
        </w:rPr>
        <w:t xml:space="preserve"> being obtained with this trend accelerating</w:t>
      </w:r>
    </w:p>
    <w:p w:rsidR="00B8748A" w:rsidRPr="00205DCE" w:rsidRDefault="00B8748A" w:rsidP="00B8748A">
      <w:pPr>
        <w:rPr>
          <w:b/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 </w:t>
      </w:r>
      <w:proofErr w:type="gramStart"/>
      <w:r w:rsidRPr="00205DCE">
        <w:rPr>
          <w:snapToGrid w:val="0"/>
          <w:sz w:val="22"/>
          <w:szCs w:val="22"/>
        </w:rPr>
        <w:t>in</w:t>
      </w:r>
      <w:proofErr w:type="gramEnd"/>
      <w:r w:rsidRPr="00205DCE">
        <w:rPr>
          <w:snapToGrid w:val="0"/>
          <w:sz w:val="22"/>
          <w:szCs w:val="22"/>
        </w:rPr>
        <w:t xml:space="preserve"> the late 1980's. </w:t>
      </w: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 introduction of 4 day cricket in </w:t>
      </w:r>
      <w:r w:rsidRPr="00205DCE">
        <w:rPr>
          <w:i/>
          <w:snapToGrid w:val="0"/>
          <w:sz w:val="22"/>
          <w:szCs w:val="22"/>
        </w:rPr>
        <w:t>1992/93</w:t>
      </w:r>
      <w:r w:rsidRPr="00205DCE">
        <w:rPr>
          <w:snapToGrid w:val="0"/>
          <w:sz w:val="22"/>
          <w:szCs w:val="22"/>
        </w:rPr>
        <w:t xml:space="preserve"> shows an </w:t>
      </w:r>
      <w:r w:rsidRPr="00205DCE">
        <w:rPr>
          <w:b/>
          <w:snapToGrid w:val="0"/>
          <w:sz w:val="22"/>
          <w:szCs w:val="22"/>
        </w:rPr>
        <w:t xml:space="preserve">increase in outright decisions, an increase in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b/>
          <w:snapToGrid w:val="0"/>
          <w:sz w:val="22"/>
          <w:szCs w:val="22"/>
        </w:rPr>
        <w:t>scores</w:t>
      </w:r>
      <w:proofErr w:type="gramEnd"/>
      <w:r w:rsidRPr="00205DCE">
        <w:rPr>
          <w:b/>
          <w:snapToGrid w:val="0"/>
          <w:sz w:val="22"/>
          <w:szCs w:val="22"/>
        </w:rPr>
        <w:t xml:space="preserve"> over 300</w:t>
      </w:r>
      <w:r w:rsidRPr="00205DCE">
        <w:rPr>
          <w:snapToGrid w:val="0"/>
          <w:sz w:val="22"/>
          <w:szCs w:val="22"/>
        </w:rPr>
        <w:t xml:space="preserve"> and a dramatic </w:t>
      </w:r>
      <w:r w:rsidRPr="00205DCE">
        <w:rPr>
          <w:b/>
          <w:snapToGrid w:val="0"/>
          <w:sz w:val="22"/>
          <w:szCs w:val="22"/>
        </w:rPr>
        <w:t>fall in the number of declarations</w:t>
      </w:r>
      <w:r w:rsidRPr="00205DCE">
        <w:rPr>
          <w:snapToGrid w:val="0"/>
          <w:sz w:val="22"/>
          <w:szCs w:val="22"/>
        </w:rPr>
        <w:t xml:space="preserve"> </w:t>
      </w:r>
      <w:r w:rsidRPr="00205DCE">
        <w:rPr>
          <w:b/>
          <w:snapToGrid w:val="0"/>
          <w:sz w:val="22"/>
          <w:szCs w:val="22"/>
        </w:rPr>
        <w:t>slowing over the past two seasons.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     </w:t>
      </w:r>
      <w:r>
        <w:rPr>
          <w:snapToGrid w:val="0"/>
          <w:sz w:val="22"/>
          <w:szCs w:val="22"/>
        </w:rPr>
        <w:t xml:space="preserve"> </w:t>
      </w: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re was concern in </w:t>
      </w:r>
      <w:r w:rsidRPr="00205DCE">
        <w:rPr>
          <w:i/>
          <w:snapToGrid w:val="0"/>
          <w:sz w:val="22"/>
          <w:szCs w:val="22"/>
        </w:rPr>
        <w:t>1991</w:t>
      </w:r>
      <w:r w:rsidRPr="00205DCE">
        <w:rPr>
          <w:snapToGrid w:val="0"/>
          <w:sz w:val="22"/>
          <w:szCs w:val="22"/>
        </w:rPr>
        <w:t xml:space="preserve"> that the change to 4 day cricket with the increase in playing time of the extra minimum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112 overs per match, later reduced in 1998/99 to an increase of 64 overs per match, would affect the style of cricket being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played</w:t>
      </w:r>
      <w:proofErr w:type="gramEnd"/>
      <w:r w:rsidRPr="00205DCE">
        <w:rPr>
          <w:snapToGrid w:val="0"/>
          <w:sz w:val="22"/>
          <w:szCs w:val="22"/>
        </w:rPr>
        <w:t xml:space="preserve">. </w:t>
      </w: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 belief was that batsmen would have a tendency to protect their wickets and consequently slow the run rate and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declarations</w:t>
      </w:r>
      <w:proofErr w:type="gramEnd"/>
      <w:r w:rsidRPr="00205DCE">
        <w:rPr>
          <w:snapToGrid w:val="0"/>
          <w:sz w:val="22"/>
          <w:szCs w:val="22"/>
        </w:rPr>
        <w:t xml:space="preserve"> would still be required to achieve decisions.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   </w:t>
      </w:r>
      <w:r>
        <w:rPr>
          <w:snapToGrid w:val="0"/>
          <w:sz w:val="22"/>
          <w:szCs w:val="22"/>
        </w:rPr>
        <w:t xml:space="preserve">  </w:t>
      </w: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re was also concern that the opportunities for all cricketers would be substantially reduced with fewer games being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played</w:t>
      </w:r>
      <w:proofErr w:type="gramEnd"/>
      <w:r w:rsidRPr="00205DCE">
        <w:rPr>
          <w:snapToGrid w:val="0"/>
          <w:sz w:val="22"/>
          <w:szCs w:val="22"/>
        </w:rPr>
        <w:t xml:space="preserve">. </w:t>
      </w:r>
      <w:proofErr w:type="gramStart"/>
      <w:r w:rsidRPr="00205DCE">
        <w:rPr>
          <w:snapToGrid w:val="0"/>
          <w:sz w:val="22"/>
          <w:szCs w:val="22"/>
        </w:rPr>
        <w:t>eg</w:t>
      </w:r>
      <w:proofErr w:type="gramEnd"/>
      <w:r w:rsidRPr="00205DCE">
        <w:rPr>
          <w:snapToGrid w:val="0"/>
          <w:sz w:val="22"/>
          <w:szCs w:val="22"/>
        </w:rPr>
        <w:t xml:space="preserve"> a batsman could expect a maximum of 12 innings (assuming one round followed by a final) as against the possible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20 innings under the 3 day cricket competition.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  </w:t>
      </w:r>
      <w:r>
        <w:rPr>
          <w:snapToGrid w:val="0"/>
          <w:sz w:val="22"/>
          <w:szCs w:val="22"/>
        </w:rPr>
        <w:t xml:space="preserve">  </w:t>
      </w:r>
      <w:r w:rsidRPr="00205DCE">
        <w:rPr>
          <w:snapToGrid w:val="0"/>
          <w:sz w:val="22"/>
          <w:szCs w:val="22"/>
        </w:rPr>
        <w:t xml:space="preserve">Another belief by some administrators was that by simply increasing the playing time would not come to terms with some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of</w:t>
      </w:r>
      <w:proofErr w:type="gramEnd"/>
      <w:r w:rsidRPr="00205DCE">
        <w:rPr>
          <w:snapToGrid w:val="0"/>
          <w:sz w:val="22"/>
          <w:szCs w:val="22"/>
        </w:rPr>
        <w:t xml:space="preserve"> the problems of the International game at that time, namely a heavy reliance on medium pace bowling and a paucity of spin </w:t>
      </w:r>
    </w:p>
    <w:p w:rsidR="00B8748A" w:rsidRPr="003D4D01" w:rsidRDefault="00B8748A" w:rsidP="00B8748A">
      <w:pPr>
        <w:rPr>
          <w:b/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bowlers</w:t>
      </w:r>
      <w:proofErr w:type="gramEnd"/>
      <w:r w:rsidRPr="00205DCE">
        <w:rPr>
          <w:snapToGrid w:val="0"/>
          <w:sz w:val="22"/>
          <w:szCs w:val="22"/>
        </w:rPr>
        <w:t xml:space="preserve">. </w:t>
      </w:r>
      <w:r w:rsidRPr="003D4D01">
        <w:rPr>
          <w:b/>
          <w:snapToGrid w:val="0"/>
          <w:sz w:val="22"/>
          <w:szCs w:val="22"/>
        </w:rPr>
        <w:t>Some of those concerns have not materialised.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  </w:t>
      </w:r>
      <w:r>
        <w:rPr>
          <w:snapToGrid w:val="0"/>
          <w:sz w:val="22"/>
          <w:szCs w:val="22"/>
        </w:rPr>
        <w:t xml:space="preserve">  </w:t>
      </w:r>
      <w:r w:rsidRPr="00205DCE">
        <w:rPr>
          <w:snapToGrid w:val="0"/>
          <w:sz w:val="22"/>
          <w:szCs w:val="22"/>
        </w:rPr>
        <w:t xml:space="preserve">Cricket statisticians in 1991 had shown that dating from around 1979 there had been a reduction in the use of spin at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Test level, but that the reduction in effectiveness of spin bowling as an attacking weapon was of much longer duration. </w:t>
      </w:r>
      <w:smartTag w:uri="urn:schemas-microsoft-com:office:smarttags" w:element="PersonName">
        <w:r w:rsidRPr="00205DCE">
          <w:rPr>
            <w:snapToGrid w:val="0"/>
            <w:sz w:val="22"/>
            <w:szCs w:val="22"/>
          </w:rPr>
          <w:t>The</w:t>
        </w:r>
      </w:smartTag>
      <w:r w:rsidRPr="00205DCE">
        <w:rPr>
          <w:snapToGrid w:val="0"/>
          <w:sz w:val="22"/>
          <w:szCs w:val="22"/>
        </w:rPr>
        <w:t xml:space="preserve">re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was</w:t>
      </w:r>
      <w:proofErr w:type="gramEnd"/>
      <w:r w:rsidRPr="00205DCE">
        <w:rPr>
          <w:snapToGrid w:val="0"/>
          <w:sz w:val="22"/>
          <w:szCs w:val="22"/>
        </w:rPr>
        <w:t xml:space="preserve"> also concern that fast short pitched intimidatory bowling at Test level was ruining the game and if there was insistence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on</w:t>
      </w:r>
      <w:proofErr w:type="gramEnd"/>
      <w:r w:rsidRPr="00205DCE">
        <w:rPr>
          <w:snapToGrid w:val="0"/>
          <w:sz w:val="22"/>
          <w:szCs w:val="22"/>
        </w:rPr>
        <w:t xml:space="preserve"> faster over rates with stiffer penalties a greater employment of spin bowlers might be seen as a consequence of that decision.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r w:rsidRPr="00205DCE">
        <w:rPr>
          <w:snapToGrid w:val="0"/>
          <w:sz w:val="22"/>
          <w:szCs w:val="22"/>
        </w:rPr>
        <w:t xml:space="preserve">  </w:t>
      </w:r>
      <w:r>
        <w:rPr>
          <w:snapToGrid w:val="0"/>
          <w:sz w:val="22"/>
          <w:szCs w:val="22"/>
        </w:rPr>
        <w:t xml:space="preserve">  </w:t>
      </w:r>
      <w:r w:rsidRPr="00205DCE">
        <w:rPr>
          <w:snapToGrid w:val="0"/>
          <w:sz w:val="22"/>
          <w:szCs w:val="22"/>
        </w:rPr>
        <w:t xml:space="preserve"> In the light of those concerns expressed in 1991, it is interesting to look back on developments within the game over the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past</w:t>
      </w:r>
      <w:proofErr w:type="gramEnd"/>
      <w:r w:rsidRPr="00205DCE">
        <w:rPr>
          <w:snapToGrid w:val="0"/>
          <w:sz w:val="22"/>
          <w:szCs w:val="22"/>
        </w:rPr>
        <w:t xml:space="preserve"> 15 years and consider whether the introduction of 4 day cricket to New Zealand has been of benefit.  Clearly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administrators</w:t>
      </w:r>
      <w:proofErr w:type="gramEnd"/>
      <w:r w:rsidRPr="00205DCE">
        <w:rPr>
          <w:snapToGrid w:val="0"/>
          <w:sz w:val="22"/>
          <w:szCs w:val="22"/>
        </w:rPr>
        <w:t xml:space="preserve"> in New Zealand have had problems with the 4 day format with frequent changes being made in the early years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and</w:t>
      </w:r>
      <w:proofErr w:type="gramEnd"/>
      <w:r w:rsidRPr="00205DCE">
        <w:rPr>
          <w:snapToGrid w:val="0"/>
          <w:sz w:val="22"/>
          <w:szCs w:val="22"/>
        </w:rPr>
        <w:t xml:space="preserve"> observation would indicate that the public have not supported the new competition any better than the previous </w:t>
      </w:r>
    </w:p>
    <w:p w:rsidR="00B8748A" w:rsidRPr="00205DCE" w:rsidRDefault="00B8748A" w:rsidP="00B8748A">
      <w:pPr>
        <w:rPr>
          <w:snapToGrid w:val="0"/>
          <w:sz w:val="22"/>
          <w:szCs w:val="22"/>
        </w:rPr>
      </w:pPr>
      <w:proofErr w:type="gramStart"/>
      <w:r w:rsidRPr="00205DCE">
        <w:rPr>
          <w:snapToGrid w:val="0"/>
          <w:sz w:val="22"/>
          <w:szCs w:val="22"/>
        </w:rPr>
        <w:t>3 day competition.</w:t>
      </w:r>
      <w:proofErr w:type="gramEnd"/>
    </w:p>
    <w:p w:rsidR="00B8748A" w:rsidRDefault="00B8748A" w:rsidP="00B8748A"/>
    <w:p w:rsidR="00B8748A" w:rsidRDefault="00B8748A" w:rsidP="00B8748A"/>
    <w:p w:rsidR="00B8748A" w:rsidRDefault="00B8748A" w:rsidP="00B8748A"/>
    <w:p w:rsidR="00B8748A" w:rsidRDefault="00B8748A" w:rsidP="00B8748A"/>
    <w:p w:rsidR="00B8748A" w:rsidRDefault="00B8748A" w:rsidP="00B8748A"/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Default="00B8748A" w:rsidP="00B8748A">
      <w:pPr>
        <w:rPr>
          <w:snapToGrid w:val="0"/>
          <w:sz w:val="22"/>
          <w:szCs w:val="22"/>
        </w:rPr>
      </w:pPr>
    </w:p>
    <w:p w:rsidR="00B8748A" w:rsidRPr="00205DCE" w:rsidRDefault="00B8748A" w:rsidP="00B8748A">
      <w:pPr>
        <w:rPr>
          <w:snapToGrid w:val="0"/>
          <w:sz w:val="22"/>
          <w:szCs w:val="22"/>
        </w:rPr>
      </w:pPr>
    </w:p>
    <w:p w:rsidR="00B8748A" w:rsidRPr="006D2682" w:rsidRDefault="00B8748A" w:rsidP="00B8748A">
      <w:pPr>
        <w:rPr>
          <w:snapToGrid w:val="0"/>
        </w:rPr>
      </w:pPr>
    </w:p>
    <w:p w:rsidR="00B8748A" w:rsidRPr="00886D61" w:rsidRDefault="00B8748A" w:rsidP="00B8748A">
      <w:pPr>
        <w:ind w:left="1440" w:firstLine="720"/>
        <w:rPr>
          <w:b/>
          <w:sz w:val="28"/>
          <w:szCs w:val="28"/>
          <w:u w:val="single"/>
        </w:rPr>
      </w:pPr>
      <w:r w:rsidRPr="00886D61">
        <w:rPr>
          <w:b/>
          <w:sz w:val="28"/>
          <w:szCs w:val="28"/>
          <w:u w:val="single"/>
        </w:rPr>
        <w:t>New Zealand First Class Cri</w:t>
      </w:r>
      <w:r>
        <w:rPr>
          <w:b/>
          <w:sz w:val="28"/>
          <w:szCs w:val="28"/>
          <w:u w:val="single"/>
        </w:rPr>
        <w:t xml:space="preserve">cket Grounds </w:t>
      </w:r>
    </w:p>
    <w:p w:rsidR="00B8748A" w:rsidRPr="001B1DAE" w:rsidRDefault="00B8748A" w:rsidP="00B8748A">
      <w:pPr>
        <w:rPr>
          <w:sz w:val="22"/>
          <w:szCs w:val="22"/>
        </w:rPr>
      </w:pPr>
      <w:r>
        <w:t xml:space="preserve">      </w:t>
      </w:r>
      <w:r w:rsidRPr="001B1DAE">
        <w:rPr>
          <w:sz w:val="22"/>
          <w:szCs w:val="22"/>
        </w:rPr>
        <w:t xml:space="preserve">32 grounds have been used over a </w:t>
      </w:r>
      <w:r>
        <w:rPr>
          <w:sz w:val="22"/>
          <w:szCs w:val="22"/>
        </w:rPr>
        <w:t>fourteen</w:t>
      </w:r>
      <w:r w:rsidRPr="001B1DAE">
        <w:rPr>
          <w:sz w:val="22"/>
          <w:szCs w:val="22"/>
        </w:rPr>
        <w:t xml:space="preserve"> year period from 1996/97 with 16 having more than 5 matches. A number of </w:t>
      </w:r>
    </w:p>
    <w:p w:rsidR="00B8748A" w:rsidRPr="001B1DAE" w:rsidRDefault="00B8748A" w:rsidP="00B8748A">
      <w:pPr>
        <w:rPr>
          <w:sz w:val="22"/>
          <w:szCs w:val="22"/>
        </w:rPr>
      </w:pPr>
      <w:proofErr w:type="gramStart"/>
      <w:r w:rsidRPr="001B1DAE">
        <w:rPr>
          <w:sz w:val="22"/>
          <w:szCs w:val="22"/>
        </w:rPr>
        <w:t>those</w:t>
      </w:r>
      <w:proofErr w:type="gramEnd"/>
      <w:r w:rsidRPr="001B1DAE">
        <w:rPr>
          <w:sz w:val="22"/>
          <w:szCs w:val="22"/>
        </w:rPr>
        <w:t xml:space="preserve"> grounds will not be used in the future for first class matches. </w:t>
      </w:r>
      <w:smartTag w:uri="urn:schemas-microsoft-com:office:smarttags" w:element="PersonName">
        <w:r w:rsidRPr="001B1DAE">
          <w:rPr>
            <w:sz w:val="22"/>
            <w:szCs w:val="22"/>
          </w:rPr>
          <w:t>The</w:t>
        </w:r>
      </w:smartTag>
      <w:r w:rsidRPr="001B1DAE">
        <w:rPr>
          <w:sz w:val="22"/>
          <w:szCs w:val="22"/>
        </w:rPr>
        <w:t xml:space="preserve"> 2006/07 season used only nine grounds which was </w:t>
      </w:r>
    </w:p>
    <w:p w:rsidR="00B8748A" w:rsidRDefault="00B8748A" w:rsidP="00B8748A">
      <w:pPr>
        <w:rPr>
          <w:sz w:val="22"/>
          <w:szCs w:val="22"/>
        </w:rPr>
      </w:pPr>
      <w:proofErr w:type="gramStart"/>
      <w:r w:rsidRPr="001B1DAE">
        <w:rPr>
          <w:sz w:val="22"/>
          <w:szCs w:val="22"/>
        </w:rPr>
        <w:t>the</w:t>
      </w:r>
      <w:proofErr w:type="gramEnd"/>
      <w:r w:rsidRPr="001B1DAE">
        <w:rPr>
          <w:sz w:val="22"/>
          <w:szCs w:val="22"/>
        </w:rPr>
        <w:t xml:space="preserve"> fewest nu</w:t>
      </w:r>
      <w:r>
        <w:rPr>
          <w:sz w:val="22"/>
          <w:szCs w:val="22"/>
        </w:rPr>
        <w:t>mber used over the past fourteen</w:t>
      </w:r>
      <w:r w:rsidRPr="001B1DAE">
        <w:rPr>
          <w:sz w:val="22"/>
          <w:szCs w:val="22"/>
        </w:rPr>
        <w:t xml:space="preserve"> years.  2007/08 season saw an i</w:t>
      </w:r>
      <w:r>
        <w:rPr>
          <w:sz w:val="22"/>
          <w:szCs w:val="22"/>
        </w:rPr>
        <w:t xml:space="preserve">ncrease in number to twelve, the </w:t>
      </w:r>
      <w:r w:rsidRPr="001B1DAE">
        <w:rPr>
          <w:sz w:val="22"/>
          <w:szCs w:val="22"/>
        </w:rPr>
        <w:t xml:space="preserve">2008/09 </w:t>
      </w:r>
      <w:r>
        <w:rPr>
          <w:sz w:val="22"/>
          <w:szCs w:val="22"/>
        </w:rPr>
        <w:t xml:space="preserve">season </w:t>
      </w:r>
    </w:p>
    <w:p w:rsidR="00B8748A" w:rsidRDefault="00B8748A" w:rsidP="00B8748A">
      <w:pPr>
        <w:rPr>
          <w:sz w:val="22"/>
          <w:szCs w:val="22"/>
        </w:rPr>
      </w:pPr>
      <w:proofErr w:type="gramStart"/>
      <w:r w:rsidRPr="001B1DAE">
        <w:rPr>
          <w:sz w:val="22"/>
          <w:szCs w:val="22"/>
        </w:rPr>
        <w:lastRenderedPageBreak/>
        <w:t>used</w:t>
      </w:r>
      <w:proofErr w:type="gramEnd"/>
      <w:r w:rsidRPr="001B1DAE">
        <w:rPr>
          <w:sz w:val="22"/>
          <w:szCs w:val="22"/>
        </w:rPr>
        <w:t xml:space="preserve"> 13 grounds</w:t>
      </w:r>
      <w:r>
        <w:rPr>
          <w:sz w:val="22"/>
          <w:szCs w:val="22"/>
        </w:rPr>
        <w:t>,</w:t>
      </w:r>
      <w:r w:rsidRPr="001B1DAE">
        <w:rPr>
          <w:sz w:val="22"/>
          <w:szCs w:val="22"/>
        </w:rPr>
        <w:t xml:space="preserve"> although the fi</w:t>
      </w:r>
      <w:r>
        <w:rPr>
          <w:sz w:val="22"/>
          <w:szCs w:val="22"/>
        </w:rPr>
        <w:t xml:space="preserve">nal was played at Lincoln Oval and in 2009/10 twelve grounds were used. </w:t>
      </w:r>
      <w:r w:rsidRPr="001B1DAE">
        <w:rPr>
          <w:sz w:val="22"/>
          <w:szCs w:val="22"/>
        </w:rPr>
        <w:t xml:space="preserve"> In the 2002/03 season </w:t>
      </w:r>
    </w:p>
    <w:p w:rsidR="00B8748A" w:rsidRPr="001B1DAE" w:rsidRDefault="00B8748A" w:rsidP="00B8748A">
      <w:pPr>
        <w:rPr>
          <w:sz w:val="22"/>
          <w:szCs w:val="22"/>
        </w:rPr>
      </w:pPr>
      <w:r w:rsidRPr="001B1DAE">
        <w:rPr>
          <w:sz w:val="22"/>
          <w:szCs w:val="22"/>
        </w:rPr>
        <w:t>18 grounds were used, the most over the l</w:t>
      </w:r>
      <w:r>
        <w:rPr>
          <w:sz w:val="22"/>
          <w:szCs w:val="22"/>
        </w:rPr>
        <w:t>ast fourteen</w:t>
      </w:r>
      <w:r w:rsidRPr="001B1DAE">
        <w:rPr>
          <w:sz w:val="22"/>
          <w:szCs w:val="22"/>
        </w:rPr>
        <w:t xml:space="preserve"> years.</w:t>
      </w:r>
    </w:p>
    <w:p w:rsidR="00B8748A" w:rsidRDefault="00B8748A" w:rsidP="00B8748A"/>
    <w:p w:rsidR="00B8748A" w:rsidRDefault="00B8748A" w:rsidP="00B8748A">
      <w:pPr>
        <w:ind w:firstLine="720"/>
      </w:pPr>
    </w:p>
    <w:p w:rsidR="00B8748A" w:rsidRDefault="00B8748A" w:rsidP="00B8748A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956192">
        <w:rPr>
          <w:b/>
          <w:sz w:val="28"/>
          <w:szCs w:val="28"/>
        </w:rPr>
        <w:t>First Class Grounds 2004/05 to 2009/10</w:t>
      </w:r>
    </w:p>
    <w:p w:rsidR="00B8748A" w:rsidRDefault="00B8748A" w:rsidP="00B8748A">
      <w:pPr>
        <w:rPr>
          <w:b/>
          <w:sz w:val="28"/>
          <w:szCs w:val="28"/>
        </w:rPr>
      </w:pPr>
    </w:p>
    <w:p w:rsidR="00B8748A" w:rsidRDefault="00B8748A" w:rsidP="00B8748A">
      <w:pPr>
        <w:rPr>
          <w:sz w:val="22"/>
          <w:szCs w:val="22"/>
        </w:rPr>
      </w:pPr>
      <w:r w:rsidRPr="00956192">
        <w:rPr>
          <w:sz w:val="22"/>
          <w:szCs w:val="22"/>
        </w:rPr>
        <w:t>This chart analyses matches played at the most frequently used grounds over the past six years.</w:t>
      </w:r>
      <w:r>
        <w:rPr>
          <w:sz w:val="22"/>
          <w:szCs w:val="22"/>
        </w:rPr>
        <w:t xml:space="preserve"> Of interest to</w:t>
      </w:r>
    </w:p>
    <w:p w:rsidR="00B8748A" w:rsidRPr="00956192" w:rsidRDefault="00B8748A" w:rsidP="00B8748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CCA is the difficulty in achieving results at the QE2 ground.</w:t>
      </w:r>
    </w:p>
    <w:p w:rsidR="00B8748A" w:rsidRDefault="00B8748A" w:rsidP="00B8748A"/>
    <w:tbl>
      <w:tblPr>
        <w:tblW w:w="9766" w:type="dxa"/>
        <w:tblInd w:w="93" w:type="dxa"/>
        <w:tblLook w:val="04A0"/>
      </w:tblPr>
      <w:tblGrid>
        <w:gridCol w:w="1433"/>
        <w:gridCol w:w="857"/>
        <w:gridCol w:w="794"/>
        <w:gridCol w:w="848"/>
        <w:gridCol w:w="660"/>
        <w:gridCol w:w="580"/>
        <w:gridCol w:w="760"/>
        <w:gridCol w:w="580"/>
        <w:gridCol w:w="700"/>
        <w:gridCol w:w="821"/>
        <w:gridCol w:w="893"/>
        <w:gridCol w:w="840"/>
      </w:tblGrid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Matches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Results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Result%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300+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r/wkt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Century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100/balls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LBW%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59.09%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39.19%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32.83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1154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18.96%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3.07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39.58%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35.30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14.96%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45.45%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37.44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1783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11.54%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3.46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65.00%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43.27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11.46%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3.35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38.75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949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16.26%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100.00%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36.37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11.38%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33.29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1228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11.22%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100.00%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3.07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31.25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19.51%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 Oval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75.00%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48.28%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35.47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17.00%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64.29%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27.07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1960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18.20%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48.00%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41.15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831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18.97%</w:t>
            </w:r>
          </w:p>
        </w:tc>
      </w:tr>
      <w:tr w:rsidR="00B8748A" w:rsidRPr="00956192" w:rsidTr="00471C21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55.77%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42.23%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956192" w:rsidRDefault="00B8748A" w:rsidP="00471C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16.59%</w:t>
            </w:r>
          </w:p>
        </w:tc>
      </w:tr>
    </w:tbl>
    <w:p w:rsidR="00B8748A" w:rsidRDefault="00B8748A" w:rsidP="00B8748A"/>
    <w:p w:rsidR="00B8748A" w:rsidRDefault="00B8748A" w:rsidP="00B8748A">
      <w:pPr>
        <w:ind w:firstLine="720"/>
      </w:pPr>
    </w:p>
    <w:p w:rsidR="00B8748A" w:rsidRPr="00AC362D" w:rsidRDefault="00B8748A" w:rsidP="00B8748A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rPr>
          <w:b/>
          <w:sz w:val="24"/>
          <w:szCs w:val="24"/>
        </w:rPr>
        <w:t>Overall c</w:t>
      </w:r>
      <w:r w:rsidRPr="00AC362D">
        <w:rPr>
          <w:b/>
          <w:sz w:val="24"/>
          <w:szCs w:val="24"/>
        </w:rPr>
        <w:t>omparison of grounds 2004/05 to 2009/10</w:t>
      </w:r>
    </w:p>
    <w:tbl>
      <w:tblPr>
        <w:tblW w:w="10449" w:type="dxa"/>
        <w:tblInd w:w="93" w:type="dxa"/>
        <w:tblLook w:val="04A0"/>
      </w:tblPr>
      <w:tblGrid>
        <w:gridCol w:w="1519"/>
        <w:gridCol w:w="995"/>
        <w:gridCol w:w="222"/>
        <w:gridCol w:w="1519"/>
        <w:gridCol w:w="981"/>
        <w:gridCol w:w="222"/>
        <w:gridCol w:w="1420"/>
        <w:gridCol w:w="848"/>
        <w:gridCol w:w="222"/>
        <w:gridCol w:w="1520"/>
        <w:gridCol w:w="759"/>
        <w:gridCol w:w="222"/>
      </w:tblGrid>
      <w:tr w:rsidR="00B8748A" w:rsidRPr="00017615" w:rsidTr="00471C21">
        <w:trPr>
          <w:trHeight w:val="255"/>
        </w:trPr>
        <w:tc>
          <w:tcPr>
            <w:tcW w:w="4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Results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 Rate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Centuries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100.00%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3.46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693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65.00%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100.00%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831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75.00%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3.35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Hamilton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905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3.28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Nelson Park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949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48.28%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64.29%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Villlage Green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Mainpower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985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48.00%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59.09%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Mainpower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45.45%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39.58%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1154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39.19%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1228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1783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Nelson Park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1960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Runs/wkt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LBW 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Ranking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43.27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11.22%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41.15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11.38%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38.75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11.46%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37.44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11.54%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36.37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14.96%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35.47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16.26%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35.00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Mainpower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17.00%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33.29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18.20%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32.83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18.97%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31.25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18.96%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B8748A" w:rsidRPr="00017615" w:rsidTr="00471C21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27.07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19.51%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48A" w:rsidRPr="00017615" w:rsidRDefault="00B8748A" w:rsidP="00471C21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B8748A" w:rsidRDefault="00B8748A" w:rsidP="00B8748A"/>
    <w:p w:rsidR="00B8748A" w:rsidRDefault="00B8748A" w:rsidP="00B8748A"/>
    <w:p w:rsidR="00B8748A" w:rsidRDefault="00B8748A" w:rsidP="00B8748A"/>
    <w:tbl>
      <w:tblPr>
        <w:tblW w:w="18266" w:type="dxa"/>
        <w:tblInd w:w="-15" w:type="dxa"/>
        <w:tblLook w:val="0000"/>
      </w:tblPr>
      <w:tblGrid>
        <w:gridCol w:w="18266"/>
      </w:tblGrid>
      <w:tr w:rsidR="00B8748A" w:rsidRPr="00F86714" w:rsidTr="00471C21">
        <w:trPr>
          <w:trHeight w:val="255"/>
        </w:trPr>
        <w:tc>
          <w:tcPr>
            <w:tcW w:w="18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Default="00B8748A" w:rsidP="00471C21">
            <w:r w:rsidRPr="00F86714">
              <w:t>As the number of matches played at eac</w:t>
            </w:r>
            <w:r>
              <w:t>h ground varies considerably (74 inns at Basin Reserve, 29</w:t>
            </w:r>
            <w:r w:rsidRPr="00F86714">
              <w:t xml:space="preserve"> at Mainpower Oval</w:t>
            </w:r>
            <w:r>
              <w:t xml:space="preserve">, 15 </w:t>
            </w:r>
          </w:p>
          <w:p w:rsidR="00B8748A" w:rsidRDefault="00B8748A" w:rsidP="00471C21">
            <w:proofErr w:type="gramStart"/>
            <w:r>
              <w:t>at</w:t>
            </w:r>
            <w:proofErr w:type="gramEnd"/>
            <w:r>
              <w:t xml:space="preserve"> New Plymouth and Nelson Park and 10 inns at Palmerston North</w:t>
            </w:r>
            <w:r w:rsidRPr="00F86714">
              <w:t>) it is difficult to make accurate comparison</w:t>
            </w:r>
            <w:r>
              <w:t xml:space="preserve">s. However some </w:t>
            </w:r>
          </w:p>
          <w:p w:rsidR="00B8748A" w:rsidRDefault="00B8748A" w:rsidP="00471C21">
            <w:proofErr w:type="gramStart"/>
            <w:r>
              <w:t>trends</w:t>
            </w:r>
            <w:proofErr w:type="gramEnd"/>
            <w:r>
              <w:t xml:space="preserve"> do stand </w:t>
            </w:r>
            <w:r w:rsidRPr="00F86714">
              <w:t>out.</w:t>
            </w:r>
          </w:p>
          <w:p w:rsidR="00B8748A" w:rsidRPr="00F86714" w:rsidRDefault="00B8748A" w:rsidP="00471C21"/>
          <w:p w:rsidR="00B8748A" w:rsidRPr="00F86714" w:rsidRDefault="00B8748A" w:rsidP="00471C21">
            <w:r w:rsidRPr="00F86714">
              <w:t xml:space="preserve">         </w:t>
            </w:r>
            <w:r>
              <w:t xml:space="preserve">          </w:t>
            </w:r>
            <w:r w:rsidRPr="00F86714">
              <w:t xml:space="preserve"> </w:t>
            </w:r>
            <w:smartTag w:uri="urn:schemas-microsoft-com:office:smarttags" w:element="PersonName">
              <w:r w:rsidRPr="00F86714">
                <w:t>The</w:t>
              </w:r>
            </w:smartTag>
            <w:r w:rsidRPr="00F86714">
              <w:t xml:space="preserve"> two grounds that cle</w:t>
            </w:r>
            <w:r>
              <w:t xml:space="preserve">arly favour the batsmen are Pukekura Park </w:t>
            </w:r>
            <w:r w:rsidRPr="00F86714">
              <w:t xml:space="preserve">and McLean Park. </w:t>
            </w:r>
          </w:p>
          <w:p w:rsidR="00B8748A" w:rsidRPr="00F86714" w:rsidRDefault="00B8748A" w:rsidP="00471C21">
            <w:r w:rsidRPr="00F86714">
              <w:t xml:space="preserve">         </w:t>
            </w:r>
            <w:r>
              <w:t xml:space="preserve">          </w:t>
            </w:r>
            <w:r w:rsidRPr="00F86714">
              <w:t xml:space="preserve"> </w:t>
            </w:r>
            <w:r>
              <w:t xml:space="preserve">Grounds that rank low are </w:t>
            </w:r>
            <w:r w:rsidRPr="00F86714">
              <w:t>the Uni</w:t>
            </w:r>
            <w:r>
              <w:t>versity Oval, Queenstown and the Basin Reserve.</w:t>
            </w:r>
          </w:p>
          <w:p w:rsidR="00B8748A" w:rsidRPr="00F86714" w:rsidRDefault="00B8748A" w:rsidP="00471C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748A" w:rsidRPr="00E23222" w:rsidTr="00471C21">
        <w:trPr>
          <w:trHeight w:val="255"/>
        </w:trPr>
        <w:tc>
          <w:tcPr>
            <w:tcW w:w="18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48A" w:rsidRPr="00960D5C" w:rsidRDefault="00B8748A" w:rsidP="00471C21">
            <w:pPr>
              <w:ind w:left="-720" w:firstLine="720"/>
            </w:pPr>
            <w:r w:rsidRPr="00960D5C">
              <w:lastRenderedPageBreak/>
              <w:t>1. Results</w:t>
            </w:r>
            <w:r w:rsidRPr="00960D5C">
              <w:tab/>
            </w:r>
          </w:p>
          <w:p w:rsidR="00B8748A" w:rsidRDefault="00B8748A" w:rsidP="00471C21">
            <w:r>
              <w:t>Outright decisions</w:t>
            </w:r>
            <w:r w:rsidRPr="00960D5C">
              <w:t xml:space="preserve"> have been the</w:t>
            </w:r>
            <w:r>
              <w:t xml:space="preserve"> most difficult to obtain at Nelson Park, ( one result in 4 matches),  Invercargill( one result in three matches)</w:t>
            </w:r>
          </w:p>
          <w:p w:rsidR="00B8748A" w:rsidRDefault="00B8748A" w:rsidP="00471C21">
            <w:r>
              <w:t xml:space="preserve">and the Village Green with five decisions in 15 matches </w:t>
            </w:r>
          </w:p>
          <w:p w:rsidR="00B8748A" w:rsidRPr="001A75F3" w:rsidRDefault="00B8748A" w:rsidP="00471C21">
            <w:pPr>
              <w:rPr>
                <w:b/>
              </w:rPr>
            </w:pPr>
          </w:p>
          <w:p w:rsidR="00B8748A" w:rsidRPr="007D0D5B" w:rsidRDefault="00B8748A" w:rsidP="00471C21">
            <w:pPr>
              <w:ind w:left="-720" w:firstLine="720"/>
            </w:pPr>
            <w:r w:rsidRPr="007D0D5B">
              <w:t>2. Run Rate</w:t>
            </w:r>
          </w:p>
          <w:p w:rsidR="00B8748A" w:rsidRDefault="00B8748A" w:rsidP="00471C21">
            <w:r>
              <w:t xml:space="preserve">Three grounds stand out with the highest run rate achieved at McLean Park.  It is surprising to note the low run rate at the University </w:t>
            </w:r>
          </w:p>
          <w:p w:rsidR="00B8748A" w:rsidRDefault="00B8748A" w:rsidP="00471C21">
            <w:r>
              <w:t>Oval.</w:t>
            </w:r>
          </w:p>
          <w:p w:rsidR="00B8748A" w:rsidRDefault="00B8748A" w:rsidP="00471C21"/>
          <w:p w:rsidR="00B8748A" w:rsidRPr="007D0D5B" w:rsidRDefault="00B8748A" w:rsidP="00471C21">
            <w:pPr>
              <w:ind w:left="-720" w:firstLine="720"/>
            </w:pPr>
            <w:r w:rsidRPr="007D0D5B">
              <w:t>3. Centuries</w:t>
            </w:r>
          </w:p>
          <w:p w:rsidR="00B8748A" w:rsidRDefault="00B8748A" w:rsidP="00471C21">
            <w:r>
              <w:t>A very wide range between top and bottom grounds. A surprise to see such a low figure at the University Oval with only twelve centuries</w:t>
            </w:r>
          </w:p>
          <w:p w:rsidR="00B8748A" w:rsidRPr="001A75F3" w:rsidRDefault="00B8748A" w:rsidP="00471C21">
            <w:pPr>
              <w:rPr>
                <w:b/>
              </w:rPr>
            </w:pPr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50 innings.</w:t>
            </w:r>
          </w:p>
          <w:p w:rsidR="00B8748A" w:rsidRDefault="00B8748A" w:rsidP="00471C21"/>
          <w:p w:rsidR="00B8748A" w:rsidRPr="007D0D5B" w:rsidRDefault="00B8748A" w:rsidP="00471C21">
            <w:pPr>
              <w:ind w:left="-720" w:firstLine="720"/>
            </w:pPr>
            <w:r w:rsidRPr="007D0D5B">
              <w:t>4. 300+ Innings</w:t>
            </w:r>
          </w:p>
          <w:p w:rsidR="00B8748A" w:rsidRDefault="00B8748A" w:rsidP="00471C21">
            <w:pPr>
              <w:ind w:left="-6" w:firstLine="6"/>
            </w:pPr>
            <w:r>
              <w:t xml:space="preserve">Another wide range from top to bottom and it is surprising with the short boundaries at the University Oval that only twelve </w:t>
            </w:r>
          </w:p>
          <w:p w:rsidR="00B8748A" w:rsidRPr="00C0255A" w:rsidRDefault="00B8748A" w:rsidP="00471C21">
            <w:pPr>
              <w:ind w:left="-6" w:firstLine="6"/>
            </w:pPr>
            <w:r>
              <w:t xml:space="preserve">300+ have been recorded in 50 innings. The ratio improved greatly in 2009/10 with five plus scores over 300. </w:t>
            </w:r>
          </w:p>
          <w:p w:rsidR="00B8748A" w:rsidRPr="001A75F3" w:rsidRDefault="00B8748A" w:rsidP="00471C21">
            <w:pPr>
              <w:ind w:left="-180" w:firstLine="180"/>
              <w:rPr>
                <w:b/>
              </w:rPr>
            </w:pPr>
          </w:p>
          <w:p w:rsidR="00B8748A" w:rsidRPr="007D0D5B" w:rsidRDefault="00B8748A" w:rsidP="00471C21">
            <w:pPr>
              <w:ind w:left="-180" w:firstLine="174"/>
            </w:pPr>
            <w:r w:rsidRPr="007D0D5B">
              <w:t>5. Runs/Wicket</w:t>
            </w:r>
          </w:p>
          <w:p w:rsidR="00B8748A" w:rsidRDefault="00B8748A" w:rsidP="00471C21">
            <w:pPr>
              <w:ind w:left="-6"/>
            </w:pPr>
            <w:r w:rsidRPr="007D0D5B">
              <w:t xml:space="preserve">By a clear margin more runs are scored </w:t>
            </w:r>
            <w:r>
              <w:t xml:space="preserve">for wickets lost are achieved at McLean Park and the Village Green but there is a </w:t>
            </w:r>
          </w:p>
          <w:p w:rsidR="00B8748A" w:rsidRDefault="00B8748A" w:rsidP="00471C21">
            <w:pPr>
              <w:ind w:left="-6"/>
            </w:pPr>
            <w:proofErr w:type="gramStart"/>
            <w:r>
              <w:t>large</w:t>
            </w:r>
            <w:proofErr w:type="gramEnd"/>
            <w:r>
              <w:t xml:space="preserve"> gap to the lower rates achieved at the University Oval and Queenstown..</w:t>
            </w:r>
          </w:p>
          <w:p w:rsidR="00B8748A" w:rsidRPr="001A75F3" w:rsidRDefault="00B8748A" w:rsidP="00471C21">
            <w:pPr>
              <w:ind w:left="-6"/>
              <w:rPr>
                <w:b/>
              </w:rPr>
            </w:pPr>
          </w:p>
          <w:p w:rsidR="00B8748A" w:rsidRPr="007D0D5B" w:rsidRDefault="00B8748A" w:rsidP="00471C21">
            <w:pPr>
              <w:ind w:left="-142" w:firstLine="136"/>
            </w:pPr>
            <w:r w:rsidRPr="007D0D5B">
              <w:t>6. LBW decisions</w:t>
            </w:r>
          </w:p>
          <w:p w:rsidR="00B8748A" w:rsidRDefault="00B8748A" w:rsidP="00471C21">
            <w:r>
              <w:t xml:space="preserve">Not surprising there is a low number of lbw’s at McLean </w:t>
            </w:r>
            <w:proofErr w:type="gramStart"/>
            <w:r>
              <w:t>Park  but</w:t>
            </w:r>
            <w:proofErr w:type="gramEnd"/>
            <w:r>
              <w:t xml:space="preserve"> a high number at Queenstown and  the Basin Reserve..  </w:t>
            </w:r>
          </w:p>
          <w:p w:rsidR="00B8748A" w:rsidRDefault="00B8748A" w:rsidP="00471C21">
            <w:r>
              <w:t xml:space="preserve">The Basin Reserve with 124 lbw decisions in 654 wickets is high for an International ground. However the rate has fallen </w:t>
            </w:r>
          </w:p>
          <w:p w:rsidR="00B8748A" w:rsidRDefault="00B8748A" w:rsidP="00471C21">
            <w:proofErr w:type="gramStart"/>
            <w:r>
              <w:t>over</w:t>
            </w:r>
            <w:proofErr w:type="gramEnd"/>
            <w:r>
              <w:t xml:space="preserve"> the past three  years.  </w:t>
            </w:r>
          </w:p>
          <w:p w:rsidR="00B8748A" w:rsidRPr="001A75F3" w:rsidRDefault="00B8748A" w:rsidP="00471C21">
            <w:pPr>
              <w:rPr>
                <w:b/>
              </w:rPr>
            </w:pPr>
            <w:r w:rsidRPr="001A75F3">
              <w:rPr>
                <w:b/>
              </w:rPr>
              <w:t xml:space="preserve">    </w:t>
            </w:r>
          </w:p>
          <w:p w:rsidR="00B8748A" w:rsidRPr="00345E86" w:rsidRDefault="00B8748A" w:rsidP="00471C21"/>
          <w:p w:rsidR="00B8748A" w:rsidRDefault="00B8748A" w:rsidP="00471C21">
            <w:pPr>
              <w:rPr>
                <w:b/>
                <w:sz w:val="24"/>
                <w:szCs w:val="24"/>
              </w:rPr>
            </w:pPr>
          </w:p>
          <w:p w:rsidR="00B8748A" w:rsidRPr="00E23222" w:rsidRDefault="00B8748A" w:rsidP="00471C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8748A" w:rsidRDefault="00B8748A" w:rsidP="00B8748A">
      <w:pPr>
        <w:rPr>
          <w:b/>
          <w:sz w:val="24"/>
          <w:szCs w:val="24"/>
        </w:rPr>
      </w:pPr>
    </w:p>
    <w:p w:rsidR="00B8748A" w:rsidRDefault="00B8748A" w:rsidP="00B8748A">
      <w:pPr>
        <w:rPr>
          <w:b/>
          <w:sz w:val="24"/>
          <w:szCs w:val="24"/>
        </w:rPr>
      </w:pPr>
    </w:p>
    <w:p w:rsidR="00B8748A" w:rsidRDefault="00B8748A" w:rsidP="00B8748A">
      <w:pPr>
        <w:rPr>
          <w:b/>
          <w:sz w:val="24"/>
          <w:szCs w:val="24"/>
        </w:rPr>
      </w:pPr>
    </w:p>
    <w:p w:rsidR="00B8748A" w:rsidRDefault="00B8748A" w:rsidP="00B8748A">
      <w:pPr>
        <w:rPr>
          <w:b/>
          <w:sz w:val="24"/>
          <w:szCs w:val="24"/>
        </w:rPr>
      </w:pPr>
    </w:p>
    <w:p w:rsidR="00B8748A" w:rsidRPr="00E23222" w:rsidRDefault="00B8748A" w:rsidP="00B8748A">
      <w:pPr>
        <w:rPr>
          <w:b/>
          <w:sz w:val="24"/>
          <w:szCs w:val="24"/>
        </w:rPr>
      </w:pPr>
    </w:p>
    <w:p w:rsidR="00054982" w:rsidRDefault="00054982"/>
    <w:sectPr w:rsidR="00054982" w:rsidSect="000F3828">
      <w:headerReference w:type="even" r:id="rId5"/>
      <w:headerReference w:type="default" r:id="rId6"/>
      <w:footerReference w:type="even" r:id="rId7"/>
      <w:footerReference w:type="default" r:id="rId8"/>
      <w:pgSz w:w="13041" w:h="16840"/>
      <w:pgMar w:top="720" w:right="720" w:bottom="720" w:left="720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66" w:rsidRDefault="00B8748A" w:rsidP="004C75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6F66" w:rsidRDefault="00B8748A" w:rsidP="004C757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66" w:rsidRDefault="00B8748A" w:rsidP="004C75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B16F66" w:rsidRDefault="00B8748A" w:rsidP="004C7578">
    <w:pPr>
      <w:pStyle w:val="Footer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66" w:rsidRDefault="00B8748A" w:rsidP="004C757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6F66" w:rsidRDefault="00B8748A" w:rsidP="004C7578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66" w:rsidRDefault="00B8748A" w:rsidP="004C757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B16F66" w:rsidRDefault="00B8748A" w:rsidP="004C7578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0304"/>
    <w:multiLevelType w:val="hybridMultilevel"/>
    <w:tmpl w:val="5DC262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80EA3"/>
    <w:multiLevelType w:val="hybridMultilevel"/>
    <w:tmpl w:val="86E0E0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63343"/>
    <w:multiLevelType w:val="hybridMultilevel"/>
    <w:tmpl w:val="BBBE14F4"/>
    <w:lvl w:ilvl="0" w:tplc="91107C2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15389"/>
    <w:multiLevelType w:val="hybridMultilevel"/>
    <w:tmpl w:val="C71057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E44A3"/>
    <w:multiLevelType w:val="hybridMultilevel"/>
    <w:tmpl w:val="964412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66375"/>
    <w:multiLevelType w:val="hybridMultilevel"/>
    <w:tmpl w:val="D082B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B65B9"/>
    <w:multiLevelType w:val="hybridMultilevel"/>
    <w:tmpl w:val="A658F2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8748A"/>
    <w:rsid w:val="00054982"/>
    <w:rsid w:val="00B8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8748A"/>
    <w:pPr>
      <w:tabs>
        <w:tab w:val="center" w:pos="4320"/>
        <w:tab w:val="right" w:pos="864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rsid w:val="00B8748A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B8748A"/>
  </w:style>
  <w:style w:type="paragraph" w:styleId="Header">
    <w:name w:val="header"/>
    <w:basedOn w:val="Normal"/>
    <w:link w:val="HeaderChar"/>
    <w:rsid w:val="00B8748A"/>
    <w:pPr>
      <w:tabs>
        <w:tab w:val="center" w:pos="4320"/>
        <w:tab w:val="right" w:pos="864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rsid w:val="00B8748A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8A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48A"/>
    <w:rPr>
      <w:rFonts w:ascii="Tahoma" w:eastAsiaTheme="minorHAnsi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B8748A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B8748A"/>
    <w:pPr>
      <w:spacing w:before="100" w:beforeAutospacing="1" w:after="100" w:afterAutospacing="1"/>
    </w:pPr>
    <w:rPr>
      <w:sz w:val="24"/>
      <w:szCs w:val="24"/>
      <w:lang w:val="en-NZ" w:eastAsia="en-NZ"/>
    </w:rPr>
  </w:style>
  <w:style w:type="character" w:styleId="Hyperlink">
    <w:name w:val="Hyperlink"/>
    <w:basedOn w:val="DefaultParagraphFont"/>
    <w:uiPriority w:val="99"/>
    <w:semiHidden/>
    <w:unhideWhenUsed/>
    <w:rsid w:val="00B874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3758</Words>
  <Characters>21426</Characters>
  <Application>Microsoft Office Word</Application>
  <DocSecurity>0</DocSecurity>
  <Lines>178</Lines>
  <Paragraphs>50</Paragraphs>
  <ScaleCrop>false</ScaleCrop>
  <Company/>
  <LinksUpToDate>false</LinksUpToDate>
  <CharactersWithSpaces>25134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2019-02-25T01:47:00Z</dcterms:created>
  <dcterms:modified xsi:type="dcterms:W3CDTF">2019-02-25T01:47:00Z</dcterms:modified>
</cp:coreProperties>
</file>