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15059E" w:rsidRDefault="0015059E"/>
    <w:p w:rsidR="0015059E" w:rsidRPr="0015059E" w:rsidRDefault="0015059E" w:rsidP="0015059E">
      <w:pPr>
        <w:rPr>
          <w:b/>
          <w:snapToGrid w:val="0"/>
          <w:sz w:val="24"/>
          <w:szCs w:val="24"/>
          <w:u w:val="single"/>
        </w:rPr>
      </w:pPr>
      <w:r>
        <w:rPr>
          <w:b/>
          <w:snapToGrid w:val="0"/>
          <w:sz w:val="24"/>
          <w:szCs w:val="24"/>
        </w:rPr>
        <w:t xml:space="preserve">                </w:t>
      </w:r>
      <w:r>
        <w:rPr>
          <w:b/>
          <w:snapToGrid w:val="0"/>
          <w:sz w:val="24"/>
          <w:szCs w:val="24"/>
        </w:rPr>
        <w:tab/>
      </w:r>
      <w:r>
        <w:rPr>
          <w:b/>
          <w:snapToGrid w:val="0"/>
          <w:sz w:val="24"/>
          <w:szCs w:val="24"/>
        </w:rPr>
        <w:tab/>
      </w:r>
      <w:r>
        <w:rPr>
          <w:b/>
          <w:snapToGrid w:val="0"/>
          <w:sz w:val="24"/>
          <w:szCs w:val="24"/>
        </w:rPr>
        <w:tab/>
      </w:r>
      <w:r>
        <w:rPr>
          <w:b/>
          <w:snapToGrid w:val="0"/>
          <w:sz w:val="24"/>
          <w:szCs w:val="24"/>
        </w:rPr>
        <w:tab/>
      </w:r>
      <w:r>
        <w:rPr>
          <w:b/>
          <w:snapToGrid w:val="0"/>
          <w:sz w:val="24"/>
          <w:szCs w:val="24"/>
        </w:rPr>
        <w:tab/>
      </w:r>
      <w:r>
        <w:rPr>
          <w:b/>
          <w:snapToGrid w:val="0"/>
          <w:sz w:val="24"/>
          <w:szCs w:val="24"/>
        </w:rPr>
        <w:tab/>
      </w:r>
      <w:r w:rsidRPr="0015059E">
        <w:rPr>
          <w:b/>
          <w:snapToGrid w:val="0"/>
          <w:sz w:val="24"/>
          <w:szCs w:val="24"/>
          <w:u w:val="single"/>
        </w:rPr>
        <w:t>Summary 2010/11 Season</w:t>
      </w:r>
    </w:p>
    <w:p w:rsidR="0015059E" w:rsidRPr="0015059E" w:rsidRDefault="0015059E" w:rsidP="0015059E">
      <w:pPr>
        <w:rPr>
          <w:snapToGrid w:val="0"/>
          <w:sz w:val="24"/>
          <w:szCs w:val="24"/>
          <w:u w:val="single"/>
        </w:rPr>
      </w:pP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>Canterbury had an excellent season, leading the competition in almost all statistics.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>They had seven team scores over 250, the same as Auckland. However they only had three scores over 250 against them while Auckland had seven.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 xml:space="preserve">They batted first on seven occasions winning five and losing two. Batting second they chased down Otago’s score of 220 in 44.3 </w:t>
      </w:r>
      <w:proofErr w:type="spellStart"/>
      <w:r w:rsidRPr="0015059E">
        <w:rPr>
          <w:snapToGrid w:val="0"/>
        </w:rPr>
        <w:t>overs</w:t>
      </w:r>
      <w:proofErr w:type="spellEnd"/>
      <w:r w:rsidRPr="0015059E">
        <w:rPr>
          <w:snapToGrid w:val="0"/>
        </w:rPr>
        <w:t xml:space="preserve"> and almost reached Auckland‘s 335 in the final game.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 xml:space="preserve">Two defeats occurred while defending scores of 255 and 295 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 xml:space="preserve">The team scored at the second highest rate, </w:t>
      </w:r>
      <w:proofErr w:type="gramStart"/>
      <w:r w:rsidRPr="0015059E">
        <w:rPr>
          <w:snapToGrid w:val="0"/>
        </w:rPr>
        <w:t>5.54 runs/over,</w:t>
      </w:r>
      <w:proofErr w:type="gramEnd"/>
      <w:r w:rsidRPr="0015059E">
        <w:rPr>
          <w:snapToGrid w:val="0"/>
        </w:rPr>
        <w:t xml:space="preserve"> and had the lowest run rate of 5.09 against them.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>They scored just over 39 runs for every wicket lost, the highest, and at 27 runs for every wicket taken they were the most economical.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>They took a wicket every 32 balls, the best rate, while they lost a wicket every 42 balls.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>Three centuries were scores and two were scored against them. With 17 scores over fifty they were the best with Otago next with 12.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>Canterbury had six century partnerships, second to Auckland with eight, and there were 11 fifty run partnerships.</w:t>
      </w:r>
    </w:p>
    <w:p w:rsidR="0015059E" w:rsidRPr="0015059E" w:rsidRDefault="0015059E" w:rsidP="0015059E">
      <w:pPr>
        <w:rPr>
          <w:snapToGrid w:val="0"/>
        </w:rPr>
      </w:pPr>
      <w:r w:rsidRPr="0015059E">
        <w:rPr>
          <w:snapToGrid w:val="0"/>
        </w:rPr>
        <w:t xml:space="preserve">Canterbury scored almost 42% of their runs in boundaries, which was the highest percentage and at 9.7% had the highest percentage of sixes. </w:t>
      </w:r>
    </w:p>
    <w:p w:rsidR="0015059E" w:rsidRPr="0015059E" w:rsidRDefault="0015059E"/>
    <w:p w:rsidR="0015059E" w:rsidRDefault="0015059E"/>
    <w:tbl>
      <w:tblPr>
        <w:tblW w:w="0" w:type="auto"/>
        <w:tblInd w:w="93" w:type="dxa"/>
        <w:tblLook w:val="04A0"/>
      </w:tblPr>
      <w:tblGrid>
        <w:gridCol w:w="741"/>
        <w:gridCol w:w="616"/>
        <w:gridCol w:w="901"/>
        <w:gridCol w:w="741"/>
        <w:gridCol w:w="901"/>
        <w:gridCol w:w="741"/>
        <w:gridCol w:w="501"/>
        <w:gridCol w:w="501"/>
        <w:gridCol w:w="548"/>
        <w:gridCol w:w="548"/>
        <w:gridCol w:w="456"/>
        <w:gridCol w:w="465"/>
        <w:gridCol w:w="470"/>
        <w:gridCol w:w="665"/>
        <w:gridCol w:w="790"/>
        <w:gridCol w:w="790"/>
        <w:gridCol w:w="710"/>
        <w:gridCol w:w="710"/>
      </w:tblGrid>
      <w:tr w:rsidR="0015059E" w:rsidRPr="0015059E" w:rsidTr="0015059E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50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100 part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100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50 part 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proofErr w:type="spellStart"/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proofErr w:type="spellStart"/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proofErr w:type="spellStart"/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proofErr w:type="spellStart"/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36.70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37.87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39.11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31.92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35.98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43.73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33.49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proofErr w:type="spellStart"/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Otago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13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35.07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55</w:t>
            </w: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% of 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Total%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32.70%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7.96%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40.66%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31.98%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9.74%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41.72%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31.47%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7.87%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39.34%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32.82%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7.34%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40.16%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proofErr w:type="spellStart"/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Otago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32.70%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5.02%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37.71%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29.81%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8.80%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color w:val="000000"/>
                <w:sz w:val="16"/>
                <w:szCs w:val="16"/>
                <w:lang w:val="en-NZ" w:eastAsia="en-NZ"/>
              </w:rPr>
              <w:t>38.61%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  <w:tr w:rsidR="0015059E" w:rsidRPr="0015059E" w:rsidTr="0015059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32.05%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7.80%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15059E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39.86%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9E" w:rsidRPr="0015059E" w:rsidRDefault="0015059E" w:rsidP="0015059E">
            <w:pPr>
              <w:rPr>
                <w:color w:val="000000"/>
                <w:sz w:val="16"/>
                <w:szCs w:val="16"/>
                <w:lang w:val="en-NZ" w:eastAsia="en-NZ"/>
              </w:rPr>
            </w:pPr>
          </w:p>
        </w:tc>
      </w:tr>
    </w:tbl>
    <w:p w:rsidR="0015059E" w:rsidRPr="0015059E" w:rsidRDefault="0015059E"/>
    <w:sectPr w:rsidR="0015059E" w:rsidRPr="0015059E" w:rsidSect="001505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15059E"/>
    <w:rsid w:val="0003686A"/>
    <w:rsid w:val="0015059E"/>
    <w:rsid w:val="001A7CC8"/>
    <w:rsid w:val="00374C03"/>
    <w:rsid w:val="00421506"/>
    <w:rsid w:val="00563839"/>
    <w:rsid w:val="0058186C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9E"/>
    <w:pPr>
      <w:spacing w:line="240" w:lineRule="auto"/>
    </w:pPr>
    <w:rPr>
      <w:rFonts w:eastAsia="Times New Roman"/>
      <w:snapToGrid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2011-04-23T22:12:00Z</dcterms:created>
  <dcterms:modified xsi:type="dcterms:W3CDTF">2011-04-24T01:34:00Z</dcterms:modified>
</cp:coreProperties>
</file>