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F9" w:rsidRPr="00A337AF" w:rsidRDefault="00A337AF">
      <w:pPr>
        <w:rPr>
          <w:b/>
          <w:sz w:val="28"/>
          <w:szCs w:val="28"/>
        </w:rPr>
      </w:pPr>
      <w:r w:rsidRPr="00A337AF">
        <w:rPr>
          <w:b/>
          <w:sz w:val="28"/>
          <w:szCs w:val="28"/>
        </w:rPr>
        <w:t>AT 2017 CANTERBURY 1</w:t>
      </w:r>
      <w:r w:rsidRPr="00A337AF">
        <w:rPr>
          <w:b/>
          <w:sz w:val="28"/>
          <w:szCs w:val="28"/>
          <w:vertAlign w:val="superscript"/>
        </w:rPr>
        <w:t xml:space="preserve">ST </w:t>
      </w:r>
      <w:r w:rsidRPr="00A337AF">
        <w:rPr>
          <w:b/>
          <w:sz w:val="28"/>
          <w:szCs w:val="28"/>
        </w:rPr>
        <w:t>CLASS PLAYERS COMPARED BY TYPE OF DISMISSAL</w:t>
      </w:r>
    </w:p>
    <w:p w:rsidR="00A337AF" w:rsidRDefault="00A337AF"/>
    <w:p w:rsidR="00A337AF" w:rsidRDefault="00A337AF">
      <w:r w:rsidRPr="00A337AF">
        <w:drawing>
          <wp:inline distT="0" distB="0" distL="0" distR="0">
            <wp:extent cx="5731510" cy="2701275"/>
            <wp:effectExtent l="19050" t="0" r="21590" b="38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37AF" w:rsidRDefault="00A337AF"/>
    <w:p w:rsidR="00A337AF" w:rsidRDefault="00A337AF"/>
    <w:p w:rsidR="00A337AF" w:rsidRDefault="00A337AF"/>
    <w:p w:rsidR="00A337AF" w:rsidRDefault="00A337AF">
      <w:r w:rsidRPr="00A337AF">
        <w:drawing>
          <wp:inline distT="0" distB="0" distL="0" distR="0">
            <wp:extent cx="5791200" cy="27686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37AF" w:rsidRDefault="00A337AF"/>
    <w:p w:rsidR="00A337AF" w:rsidRDefault="00A337AF"/>
    <w:p w:rsidR="00A337AF" w:rsidRDefault="00A337AF"/>
    <w:p w:rsidR="00A337AF" w:rsidRDefault="00A337AF"/>
    <w:p w:rsidR="00A337AF" w:rsidRDefault="00A337AF"/>
    <w:p w:rsidR="00A337AF" w:rsidRDefault="00A337AF"/>
    <w:p w:rsidR="00A337AF" w:rsidRDefault="00A337AF"/>
    <w:p w:rsidR="00A337AF" w:rsidRDefault="00A337AF">
      <w:r w:rsidRPr="00A337AF">
        <w:drawing>
          <wp:inline distT="0" distB="0" distL="0" distR="0">
            <wp:extent cx="5810250" cy="26670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37AF" w:rsidRDefault="00A337AF"/>
    <w:p w:rsidR="00A337AF" w:rsidRDefault="00A337AF"/>
    <w:p w:rsidR="00A337AF" w:rsidRDefault="00A337AF"/>
    <w:p w:rsidR="00A337AF" w:rsidRDefault="00A337AF">
      <w:r w:rsidRPr="00A337AF">
        <w:drawing>
          <wp:inline distT="0" distB="0" distL="0" distR="0">
            <wp:extent cx="5731510" cy="2637964"/>
            <wp:effectExtent l="19050" t="0" r="2159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337AF" w:rsidSect="00E4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7AF"/>
    <w:rsid w:val="00A337AF"/>
    <w:rsid w:val="00E4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batsmen%20dismissals%20analys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batsmen%20dismissals%20analys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batsmen%20dismissals%20analys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batsmen%20dismissals%20analys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Bowled</a:t>
            </a:r>
            <a:r>
              <a:rPr lang="en-NZ" sz="1200" baseline="0"/>
              <a:t> dismissals by percentage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223525433553934E-2"/>
          <c:y val="0.12891064075706149"/>
          <c:w val="0.86377701560311193"/>
          <c:h val="0.6253279635917075"/>
        </c:manualLayout>
      </c:layout>
      <c:barChart>
        <c:barDir val="col"/>
        <c:grouping val="clustered"/>
        <c:ser>
          <c:idx val="0"/>
          <c:order val="0"/>
          <c:spPr>
            <a:ln w="12700"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cat>
            <c:strRef>
              <c:f>Sheet1!$K$11:$K$19</c:f>
              <c:strCache>
                <c:ptCount val="9"/>
                <c:pt idx="0">
                  <c:v>Nicholls</c:v>
                </c:pt>
                <c:pt idx="1">
                  <c:v>Ellis</c:v>
                </c:pt>
                <c:pt idx="2">
                  <c:v>McClure</c:v>
                </c:pt>
                <c:pt idx="3">
                  <c:v>Astle</c:v>
                </c:pt>
                <c:pt idx="4">
                  <c:v>Latham</c:v>
                </c:pt>
                <c:pt idx="5">
                  <c:v>Fletcher</c:v>
                </c:pt>
                <c:pt idx="6">
                  <c:v>McConchie</c:v>
                </c:pt>
                <c:pt idx="7">
                  <c:v>Bowes</c:v>
                </c:pt>
                <c:pt idx="8">
                  <c:v>Johnston</c:v>
                </c:pt>
              </c:strCache>
            </c:strRef>
          </c:cat>
          <c:val>
            <c:numRef>
              <c:f>Sheet1!$L$11:$L$19</c:f>
              <c:numCache>
                <c:formatCode>0.0</c:formatCode>
                <c:ptCount val="9"/>
                <c:pt idx="0">
                  <c:v>17.543859649122801</c:v>
                </c:pt>
                <c:pt idx="1">
                  <c:v>13.4</c:v>
                </c:pt>
                <c:pt idx="2" formatCode="General">
                  <c:v>15.4</c:v>
                </c:pt>
                <c:pt idx="3">
                  <c:v>14</c:v>
                </c:pt>
                <c:pt idx="4" formatCode="General">
                  <c:v>15.4</c:v>
                </c:pt>
                <c:pt idx="5" formatCode="General">
                  <c:v>12.1</c:v>
                </c:pt>
                <c:pt idx="6">
                  <c:v>20</c:v>
                </c:pt>
                <c:pt idx="7" formatCode="General">
                  <c:v>18.2</c:v>
                </c:pt>
                <c:pt idx="8">
                  <c:v>10</c:v>
                </c:pt>
              </c:numCache>
            </c:numRef>
          </c:val>
        </c:ser>
        <c:axId val="95837568"/>
        <c:axId val="95841280"/>
      </c:barChart>
      <c:catAx>
        <c:axId val="9583756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5841280"/>
        <c:crosses val="autoZero"/>
        <c:auto val="1"/>
        <c:lblAlgn val="ctr"/>
        <c:lblOffset val="100"/>
      </c:catAx>
      <c:valAx>
        <c:axId val="95841280"/>
        <c:scaling>
          <c:orientation val="minMax"/>
          <c:max val="25"/>
        </c:scaling>
        <c:axPos val="l"/>
        <c:majorGridlines/>
        <c:numFmt formatCode="#,##0.00" sourceLinked="0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95837568"/>
        <c:crosses val="autoZero"/>
        <c:crossBetween val="between"/>
      </c:valAx>
      <c:spPr>
        <a:noFill/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Caught</a:t>
            </a:r>
            <a:r>
              <a:rPr lang="en-NZ" sz="1200" baseline="0"/>
              <a:t> keeper by percentage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2770610514076683E-2"/>
          <c:y val="0.12380766209328242"/>
          <c:w val="0.86859746766181956"/>
          <c:h val="0.67909896413760362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B050"/>
            </a:solidFill>
            <a:ln w="12700">
              <a:solidFill>
                <a:schemeClr val="tx1"/>
              </a:solidFill>
            </a:ln>
          </c:spP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cat>
            <c:strRef>
              <c:f>Sheet1!$Q$11:$Q$19</c:f>
              <c:strCache>
                <c:ptCount val="9"/>
                <c:pt idx="0">
                  <c:v>Nicholls</c:v>
                </c:pt>
                <c:pt idx="1">
                  <c:v>Ellis</c:v>
                </c:pt>
                <c:pt idx="2">
                  <c:v>McClure</c:v>
                </c:pt>
                <c:pt idx="3">
                  <c:v>Astle</c:v>
                </c:pt>
                <c:pt idx="4">
                  <c:v>Latham</c:v>
                </c:pt>
                <c:pt idx="5">
                  <c:v>Fletcher</c:v>
                </c:pt>
                <c:pt idx="6">
                  <c:v>McConchie</c:v>
                </c:pt>
                <c:pt idx="7">
                  <c:v>Bowes</c:v>
                </c:pt>
                <c:pt idx="8">
                  <c:v>Johnston</c:v>
                </c:pt>
              </c:strCache>
            </c:strRef>
          </c:cat>
          <c:val>
            <c:numRef>
              <c:f>Sheet1!$R$11:$R$19</c:f>
              <c:numCache>
                <c:formatCode>0.0</c:formatCode>
                <c:ptCount val="9"/>
                <c:pt idx="0">
                  <c:v>15.8</c:v>
                </c:pt>
                <c:pt idx="1">
                  <c:v>16.399999999999999</c:v>
                </c:pt>
                <c:pt idx="2">
                  <c:v>15.4</c:v>
                </c:pt>
                <c:pt idx="3">
                  <c:v>22.4</c:v>
                </c:pt>
                <c:pt idx="4">
                  <c:v>9.6</c:v>
                </c:pt>
                <c:pt idx="5">
                  <c:v>21.2</c:v>
                </c:pt>
                <c:pt idx="6">
                  <c:v>40</c:v>
                </c:pt>
                <c:pt idx="7">
                  <c:v>22.7</c:v>
                </c:pt>
                <c:pt idx="8">
                  <c:v>23.3</c:v>
                </c:pt>
              </c:numCache>
            </c:numRef>
          </c:val>
        </c:ser>
        <c:axId val="95886336"/>
        <c:axId val="95901184"/>
      </c:barChart>
      <c:catAx>
        <c:axId val="9588633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5901184"/>
        <c:crosses val="autoZero"/>
        <c:auto val="1"/>
        <c:lblAlgn val="ctr"/>
        <c:lblOffset val="100"/>
      </c:catAx>
      <c:valAx>
        <c:axId val="95901184"/>
        <c:scaling>
          <c:orientation val="minMax"/>
        </c:scaling>
        <c:axPos val="l"/>
        <c:majorGridlines/>
        <c:numFmt formatCode="0.0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588633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Caught</a:t>
            </a:r>
            <a:r>
              <a:rPr lang="en-NZ" sz="1200" baseline="0"/>
              <a:t> dismissals by percentage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5758828982082291E-2"/>
          <c:y val="0.14090909090909101"/>
          <c:w val="0.85697079585620961"/>
          <c:h val="0.6494395132426628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C00000"/>
            </a:solidFill>
            <a:ln w="12700"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cat>
            <c:strRef>
              <c:f>Sheet1!$N$11:$N$19</c:f>
              <c:strCache>
                <c:ptCount val="9"/>
                <c:pt idx="0">
                  <c:v>Nicholls</c:v>
                </c:pt>
                <c:pt idx="1">
                  <c:v>Ellis</c:v>
                </c:pt>
                <c:pt idx="2">
                  <c:v>McClure</c:v>
                </c:pt>
                <c:pt idx="3">
                  <c:v>Astle</c:v>
                </c:pt>
                <c:pt idx="4">
                  <c:v>Latham</c:v>
                </c:pt>
                <c:pt idx="5">
                  <c:v>Fletcher</c:v>
                </c:pt>
                <c:pt idx="6">
                  <c:v>McConchie</c:v>
                </c:pt>
                <c:pt idx="7">
                  <c:v>Bowes</c:v>
                </c:pt>
                <c:pt idx="8">
                  <c:v>Johnston</c:v>
                </c:pt>
              </c:strCache>
            </c:strRef>
          </c:cat>
          <c:val>
            <c:numRef>
              <c:f>Sheet1!$O$11:$O$19</c:f>
              <c:numCache>
                <c:formatCode>General</c:formatCode>
                <c:ptCount val="9"/>
                <c:pt idx="0">
                  <c:v>42.1</c:v>
                </c:pt>
                <c:pt idx="1">
                  <c:v>39.6</c:v>
                </c:pt>
                <c:pt idx="2">
                  <c:v>46.2</c:v>
                </c:pt>
                <c:pt idx="3" formatCode="0.0">
                  <c:v>42</c:v>
                </c:pt>
                <c:pt idx="4" formatCode="0.0">
                  <c:v>48.1</c:v>
                </c:pt>
                <c:pt idx="5" formatCode="0.0">
                  <c:v>51.5</c:v>
                </c:pt>
                <c:pt idx="6" formatCode="0.0">
                  <c:v>25</c:v>
                </c:pt>
                <c:pt idx="7" formatCode="0.0">
                  <c:v>45.5</c:v>
                </c:pt>
                <c:pt idx="8" formatCode="0.0">
                  <c:v>63.3</c:v>
                </c:pt>
              </c:numCache>
            </c:numRef>
          </c:val>
        </c:ser>
        <c:axId val="96454528"/>
        <c:axId val="82875136"/>
      </c:barChart>
      <c:catAx>
        <c:axId val="9645452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 i="0" baseline="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2875136"/>
        <c:crosses val="autoZero"/>
        <c:auto val="1"/>
        <c:lblAlgn val="ctr"/>
        <c:lblOffset val="100"/>
      </c:catAx>
      <c:valAx>
        <c:axId val="8287513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9645452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LBW</a:t>
            </a:r>
            <a:r>
              <a:rPr lang="en-NZ" sz="1200" baseline="0"/>
              <a:t> dismissals by percentage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4.7255116440243487E-2"/>
          <c:y val="0.11981566820276492"/>
          <c:w val="0.91301751196456071"/>
          <c:h val="0.78561449980042819"/>
        </c:manualLayout>
      </c:layout>
      <c:barChart>
        <c:barDir val="col"/>
        <c:grouping val="clustered"/>
        <c:ser>
          <c:idx val="0"/>
          <c:order val="0"/>
          <c:spPr>
            <a:solidFill>
              <a:schemeClr val="tx1">
                <a:lumMod val="65000"/>
                <a:lumOff val="35000"/>
              </a:schemeClr>
            </a:solidFill>
            <a:ln w="12700">
              <a:solidFill>
                <a:prstClr val="black"/>
              </a:solidFill>
            </a:ln>
          </c:spP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cat>
            <c:strRef>
              <c:f>Sheet1!$T$11:$T$19</c:f>
              <c:strCache>
                <c:ptCount val="9"/>
                <c:pt idx="0">
                  <c:v>Nicholls</c:v>
                </c:pt>
                <c:pt idx="1">
                  <c:v>Ellis</c:v>
                </c:pt>
                <c:pt idx="2">
                  <c:v>McClure</c:v>
                </c:pt>
                <c:pt idx="3">
                  <c:v>Astle</c:v>
                </c:pt>
                <c:pt idx="4">
                  <c:v>Latham</c:v>
                </c:pt>
                <c:pt idx="5">
                  <c:v>Fletcher</c:v>
                </c:pt>
                <c:pt idx="6">
                  <c:v>McConchie</c:v>
                </c:pt>
                <c:pt idx="7">
                  <c:v>Bowes</c:v>
                </c:pt>
                <c:pt idx="8">
                  <c:v>Johnston</c:v>
                </c:pt>
              </c:strCache>
            </c:strRef>
          </c:cat>
          <c:val>
            <c:numRef>
              <c:f>Sheet1!$U$11:$U$19</c:f>
              <c:numCache>
                <c:formatCode>General</c:formatCode>
                <c:ptCount val="9"/>
                <c:pt idx="0">
                  <c:v>21.1</c:v>
                </c:pt>
                <c:pt idx="1">
                  <c:v>22.4</c:v>
                </c:pt>
                <c:pt idx="2">
                  <c:v>15.4</c:v>
                </c:pt>
                <c:pt idx="3">
                  <c:v>18.899999999999999</c:v>
                </c:pt>
                <c:pt idx="4">
                  <c:v>21.2</c:v>
                </c:pt>
                <c:pt idx="5">
                  <c:v>12.1</c:v>
                </c:pt>
                <c:pt idx="6" formatCode="0.0">
                  <c:v>10</c:v>
                </c:pt>
                <c:pt idx="7">
                  <c:v>4.5</c:v>
                </c:pt>
                <c:pt idx="8" formatCode="0.0">
                  <c:v>0</c:v>
                </c:pt>
              </c:numCache>
            </c:numRef>
          </c:val>
        </c:ser>
        <c:axId val="82903424"/>
        <c:axId val="82904960"/>
      </c:barChart>
      <c:catAx>
        <c:axId val="8290342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82904960"/>
        <c:crosses val="autoZero"/>
        <c:auto val="1"/>
        <c:lblAlgn val="ctr"/>
        <c:lblOffset val="100"/>
      </c:catAx>
      <c:valAx>
        <c:axId val="8290496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2903424"/>
        <c:crosses val="autoZero"/>
        <c:crossBetween val="between"/>
      </c:valAx>
      <c:spPr>
        <a:ln w="12700">
          <a:solidFill>
            <a:prstClr val="black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2017-07-23T05:50:00Z</dcterms:created>
  <dcterms:modified xsi:type="dcterms:W3CDTF">2017-07-23T05:56:00Z</dcterms:modified>
</cp:coreProperties>
</file>