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B6" w:rsidRDefault="00693991">
      <w:r w:rsidRPr="00693991">
        <w:drawing>
          <wp:inline distT="0" distB="0" distL="0" distR="0">
            <wp:extent cx="6731000" cy="2603500"/>
            <wp:effectExtent l="19050" t="0" r="127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93991" w:rsidRDefault="00693991"/>
    <w:p w:rsidR="00693991" w:rsidRDefault="00693991">
      <w:r w:rsidRPr="00693991">
        <w:drawing>
          <wp:inline distT="0" distB="0" distL="0" distR="0">
            <wp:extent cx="6775450" cy="2527300"/>
            <wp:effectExtent l="19050" t="0" r="2540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93991" w:rsidRDefault="00693991">
      <w:r w:rsidRPr="00693991">
        <w:lastRenderedPageBreak/>
        <w:drawing>
          <wp:inline distT="0" distB="0" distL="0" distR="0">
            <wp:extent cx="6946900" cy="2425700"/>
            <wp:effectExtent l="19050" t="0" r="254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45DEC" w:rsidRDefault="00745DEC"/>
    <w:p w:rsidR="00745DEC" w:rsidRDefault="00745DEC">
      <w:r w:rsidRPr="00745DEC">
        <w:drawing>
          <wp:inline distT="0" distB="0" distL="0" distR="0">
            <wp:extent cx="6946900" cy="2660650"/>
            <wp:effectExtent l="19050" t="0" r="2540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45DEC" w:rsidRDefault="00745DEC">
      <w:r w:rsidRPr="00745DEC">
        <w:drawing>
          <wp:inline distT="0" distB="0" distL="0" distR="0">
            <wp:extent cx="6807200" cy="2540000"/>
            <wp:effectExtent l="19050" t="0" r="127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206E" w:rsidRDefault="0055206E"/>
    <w:p w:rsidR="0055206E" w:rsidRDefault="0055206E">
      <w:r w:rsidRPr="0055206E">
        <w:drawing>
          <wp:inline distT="0" distB="0" distL="0" distR="0">
            <wp:extent cx="6858000" cy="26543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5206E" w:rsidSect="006939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93991"/>
    <w:rsid w:val="0055206E"/>
    <w:rsid w:val="00693991"/>
    <w:rsid w:val="00745DEC"/>
    <w:rsid w:val="007755B6"/>
    <w:rsid w:val="00E9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Documents\Each%20ground%20by%20year%20from%202008-09%20by%20stats.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>
                <a:latin typeface="Arial" pitchFamily="34" charset="0"/>
                <a:cs typeface="Arial" pitchFamily="34" charset="0"/>
              </a:defRPr>
            </a:pPr>
            <a:r>
              <a:rPr lang="en-NZ" sz="1400">
                <a:latin typeface="Arial" pitchFamily="34" charset="0"/>
                <a:cs typeface="Arial" pitchFamily="34" charset="0"/>
              </a:rPr>
              <a:t>Outright</a:t>
            </a:r>
            <a:r>
              <a:rPr lang="en-NZ" sz="1400" baseline="0">
                <a:latin typeface="Arial" pitchFamily="34" charset="0"/>
                <a:cs typeface="Arial" pitchFamily="34" charset="0"/>
              </a:rPr>
              <a:t> results as </a:t>
            </a:r>
            <a:r>
              <a:rPr lang="en-NZ" sz="1400">
                <a:latin typeface="Arial" pitchFamily="34" charset="0"/>
                <a:cs typeface="Arial" pitchFamily="34" charset="0"/>
              </a:rPr>
              <a:t>% of matches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Sheet1!$B$34</c:f>
              <c:strCache>
                <c:ptCount val="1"/>
                <c:pt idx="0">
                  <c:v>Result%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700" baseline="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Sheet1!$A$35:$A$46</c:f>
              <c:strCache>
                <c:ptCount val="12"/>
                <c:pt idx="0">
                  <c:v>Harry Barker</c:v>
                </c:pt>
                <c:pt idx="1">
                  <c:v>Hagley Oval</c:v>
                </c:pt>
                <c:pt idx="2">
                  <c:v>McLean Park</c:v>
                </c:pt>
                <c:pt idx="3">
                  <c:v>Colin Maiden</c:v>
                </c:pt>
                <c:pt idx="4">
                  <c:v>Mainpower Oval</c:v>
                </c:pt>
                <c:pt idx="5">
                  <c:v>Queenstown</c:v>
                </c:pt>
                <c:pt idx="6">
                  <c:v>University Oval</c:v>
                </c:pt>
                <c:pt idx="7">
                  <c:v>Seddon Park</c:v>
                </c:pt>
                <c:pt idx="8">
                  <c:v>Cobham Oval</c:v>
                </c:pt>
                <c:pt idx="9">
                  <c:v>Queens Park</c:v>
                </c:pt>
                <c:pt idx="10">
                  <c:v>Basin Reserve</c:v>
                </c:pt>
                <c:pt idx="11">
                  <c:v>Eden Park Outer</c:v>
                </c:pt>
              </c:strCache>
            </c:strRef>
          </c:cat>
          <c:val>
            <c:numRef>
              <c:f>Sheet1!$B$35:$B$46</c:f>
              <c:numCache>
                <c:formatCode>0.00%</c:formatCode>
                <c:ptCount val="12"/>
                <c:pt idx="0">
                  <c:v>1</c:v>
                </c:pt>
                <c:pt idx="1">
                  <c:v>0.90909090909090906</c:v>
                </c:pt>
                <c:pt idx="2">
                  <c:v>0.83333333333333348</c:v>
                </c:pt>
                <c:pt idx="3">
                  <c:v>0.75000000000000011</c:v>
                </c:pt>
                <c:pt idx="4">
                  <c:v>0.72727272727272729</c:v>
                </c:pt>
                <c:pt idx="5">
                  <c:v>0.63636363636363646</c:v>
                </c:pt>
                <c:pt idx="6">
                  <c:v>0.63636363636363646</c:v>
                </c:pt>
                <c:pt idx="7">
                  <c:v>0.62500000000000011</c:v>
                </c:pt>
                <c:pt idx="8">
                  <c:v>0.61538461538461553</c:v>
                </c:pt>
                <c:pt idx="9">
                  <c:v>0.60000000000000009</c:v>
                </c:pt>
                <c:pt idx="10">
                  <c:v>0.60000000000000009</c:v>
                </c:pt>
                <c:pt idx="11">
                  <c:v>0.57894736842105254</c:v>
                </c:pt>
              </c:numCache>
            </c:numRef>
          </c:val>
        </c:ser>
        <c:axId val="89940736"/>
        <c:axId val="89942272"/>
      </c:barChart>
      <c:catAx>
        <c:axId val="8994073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9942272"/>
        <c:crosses val="autoZero"/>
        <c:auto val="1"/>
        <c:lblAlgn val="ctr"/>
        <c:lblOffset val="100"/>
      </c:catAx>
      <c:valAx>
        <c:axId val="89942272"/>
        <c:scaling>
          <c:orientation val="minMax"/>
          <c:max val="1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9940736"/>
        <c:crosses val="autoZero"/>
        <c:crossBetween val="between"/>
        <c:majorUnit val="0.2"/>
      </c:valAx>
      <c:spPr>
        <a:ln cmpd="sng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Runs per over 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Sheet1!$G$34</c:f>
              <c:strCache>
                <c:ptCount val="1"/>
                <c:pt idx="0">
                  <c:v>Rate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prstClr val="black">
                  <a:alpha val="91000"/>
                </a:prstClr>
              </a:solidFill>
            </a:ln>
          </c:spPr>
          <c:dLbls>
            <c:txPr>
              <a:bodyPr/>
              <a:lstStyle/>
              <a:p>
                <a:pPr>
                  <a:defRPr sz="700" baseline="0"/>
                </a:pPr>
                <a:endParaRPr lang="en-US"/>
              </a:p>
            </c:txPr>
            <c:showVal val="1"/>
          </c:dLbls>
          <c:cat>
            <c:strRef>
              <c:f>Sheet1!$F$35:$F$46</c:f>
              <c:strCache>
                <c:ptCount val="12"/>
                <c:pt idx="0">
                  <c:v>Eden Park Outer</c:v>
                </c:pt>
                <c:pt idx="1">
                  <c:v>Mainpower</c:v>
                </c:pt>
                <c:pt idx="2">
                  <c:v>Queens Park</c:v>
                </c:pt>
                <c:pt idx="3">
                  <c:v>McLean Park</c:v>
                </c:pt>
                <c:pt idx="4">
                  <c:v>Basin Reserve</c:v>
                </c:pt>
                <c:pt idx="5">
                  <c:v>Seddon Park</c:v>
                </c:pt>
                <c:pt idx="6">
                  <c:v>University Oval</c:v>
                </c:pt>
                <c:pt idx="7">
                  <c:v>Queenstown</c:v>
                </c:pt>
                <c:pt idx="8">
                  <c:v>Colin Maiden</c:v>
                </c:pt>
                <c:pt idx="9">
                  <c:v>Hagley Oval</c:v>
                </c:pt>
                <c:pt idx="10">
                  <c:v>Cobham Oval</c:v>
                </c:pt>
                <c:pt idx="11">
                  <c:v>Harry Barker</c:v>
                </c:pt>
              </c:strCache>
            </c:strRef>
          </c:cat>
          <c:val>
            <c:numRef>
              <c:f>Sheet1!$G$35:$G$46</c:f>
              <c:numCache>
                <c:formatCode>0.00</c:formatCode>
                <c:ptCount val="12"/>
                <c:pt idx="0">
                  <c:v>3.4822406978329017</c:v>
                </c:pt>
                <c:pt idx="1">
                  <c:v>3.4358017318602569</c:v>
                </c:pt>
                <c:pt idx="2">
                  <c:v>3.4256601292867312</c:v>
                </c:pt>
                <c:pt idx="3">
                  <c:v>3.4116844349680164</c:v>
                </c:pt>
                <c:pt idx="4">
                  <c:v>3.4075118676385889</c:v>
                </c:pt>
                <c:pt idx="5">
                  <c:v>3.3903141361256548</c:v>
                </c:pt>
                <c:pt idx="6">
                  <c:v>3.3689982683528372</c:v>
                </c:pt>
                <c:pt idx="7">
                  <c:v>3.3608351574339115</c:v>
                </c:pt>
                <c:pt idx="8">
                  <c:v>3.2581762419691733</c:v>
                </c:pt>
                <c:pt idx="9">
                  <c:v>3.2430017867778447</c:v>
                </c:pt>
                <c:pt idx="10">
                  <c:v>3.1718514801806323</c:v>
                </c:pt>
                <c:pt idx="11">
                  <c:v>3.0117721921730825</c:v>
                </c:pt>
              </c:numCache>
            </c:numRef>
          </c:val>
        </c:ser>
        <c:axId val="90116864"/>
        <c:axId val="90118784"/>
      </c:barChart>
      <c:catAx>
        <c:axId val="90116864"/>
        <c:scaling>
          <c:orientation val="minMax"/>
        </c:scaling>
        <c:axPos val="b"/>
        <c:tickLblPos val="nextTo"/>
        <c:crossAx val="90118784"/>
        <c:crosses val="autoZero"/>
        <c:auto val="1"/>
        <c:lblAlgn val="ctr"/>
        <c:lblOffset val="100"/>
      </c:catAx>
      <c:valAx>
        <c:axId val="90118784"/>
        <c:scaling>
          <c:orientation val="minMax"/>
          <c:max val="3.6"/>
          <c:min val="2.7"/>
        </c:scaling>
        <c:axPos val="l"/>
        <c:majorGridlines/>
        <c:numFmt formatCode="0.00" sourceLinked="1"/>
        <c:tickLblPos val="nextTo"/>
        <c:crossAx val="90116864"/>
        <c:crosses val="autoZero"/>
        <c:crossBetween val="between"/>
        <c:majorUnit val="0.2"/>
      </c:valAx>
      <c:spPr>
        <a:ln cmpd="sng">
          <a:solidFill>
            <a:schemeClr val="tx1"/>
          </a:solidFill>
        </a:ln>
      </c:spPr>
    </c:plotArea>
    <c:plotVisOnly val="1"/>
  </c:chart>
  <c:txPr>
    <a:bodyPr/>
    <a:lstStyle/>
    <a:p>
      <a:pPr>
        <a:defRPr sz="800" baseline="0">
          <a:latin typeface="Arial" pitchFamily="34" charset="0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Centuries</a:t>
            </a:r>
            <a:r>
              <a:rPr lang="en-US" sz="1400" baseline="0"/>
              <a:t> scored per balls bowled</a:t>
            </a:r>
            <a:endParaRPr lang="en-US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Sheet1!$L$34</c:f>
              <c:strCache>
                <c:ptCount val="1"/>
                <c:pt idx="0">
                  <c:v>Rate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>
              <a:solidFill>
                <a:prstClr val="black">
                  <a:alpha val="89000"/>
                </a:prstClr>
              </a:solidFill>
            </a:ln>
          </c:spPr>
          <c:dLbls>
            <c:txPr>
              <a:bodyPr/>
              <a:lstStyle/>
              <a:p>
                <a:pPr>
                  <a:defRPr sz="80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Sheet1!$K$35:$K$46</c:f>
              <c:strCache>
                <c:ptCount val="12"/>
                <c:pt idx="0">
                  <c:v>Eden Park Outer</c:v>
                </c:pt>
                <c:pt idx="1">
                  <c:v>Colin Maiden</c:v>
                </c:pt>
                <c:pt idx="2">
                  <c:v>Queenstown</c:v>
                </c:pt>
                <c:pt idx="3">
                  <c:v>Seddon Park</c:v>
                </c:pt>
                <c:pt idx="4">
                  <c:v>Basin Reserve</c:v>
                </c:pt>
                <c:pt idx="5">
                  <c:v>Mainpower</c:v>
                </c:pt>
                <c:pt idx="6">
                  <c:v>McLean Park</c:v>
                </c:pt>
                <c:pt idx="7">
                  <c:v>Queens Park</c:v>
                </c:pt>
                <c:pt idx="8">
                  <c:v>University Oval</c:v>
                </c:pt>
                <c:pt idx="9">
                  <c:v>Cobham Oval</c:v>
                </c:pt>
                <c:pt idx="10">
                  <c:v>Hagley Oval</c:v>
                </c:pt>
                <c:pt idx="11">
                  <c:v>Harry Barker</c:v>
                </c:pt>
              </c:strCache>
            </c:strRef>
          </c:cat>
          <c:val>
            <c:numRef>
              <c:f>Sheet1!$L$35:$L$46</c:f>
              <c:numCache>
                <c:formatCode>0</c:formatCode>
                <c:ptCount val="12"/>
                <c:pt idx="0">
                  <c:v>853.13953488372078</c:v>
                </c:pt>
                <c:pt idx="1">
                  <c:v>969.8205128205127</c:v>
                </c:pt>
                <c:pt idx="2">
                  <c:v>989.83333333333348</c:v>
                </c:pt>
                <c:pt idx="3">
                  <c:v>985.80645161290306</c:v>
                </c:pt>
                <c:pt idx="4">
                  <c:v>1006.9399999999999</c:v>
                </c:pt>
                <c:pt idx="5">
                  <c:v>1116.3333333333328</c:v>
                </c:pt>
                <c:pt idx="6">
                  <c:v>1116.6666666666667</c:v>
                </c:pt>
                <c:pt idx="7">
                  <c:v>1303.8571428571427</c:v>
                </c:pt>
                <c:pt idx="8">
                  <c:v>1314.2758620689658</c:v>
                </c:pt>
                <c:pt idx="9">
                  <c:v>1494.75</c:v>
                </c:pt>
                <c:pt idx="10">
                  <c:v>1679</c:v>
                </c:pt>
                <c:pt idx="11">
                  <c:v>1885.8</c:v>
                </c:pt>
              </c:numCache>
            </c:numRef>
          </c:val>
        </c:ser>
        <c:axId val="90698880"/>
        <c:axId val="90701184"/>
      </c:barChart>
      <c:catAx>
        <c:axId val="9069888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90701184"/>
        <c:crosses val="autoZero"/>
        <c:auto val="1"/>
        <c:lblAlgn val="ctr"/>
        <c:lblOffset val="100"/>
      </c:catAx>
      <c:valAx>
        <c:axId val="90701184"/>
        <c:scaling>
          <c:orientation val="minMax"/>
          <c:max val="2000"/>
          <c:min val="0"/>
        </c:scaling>
        <c:axPos val="l"/>
        <c:majorGridlines/>
        <c:numFmt formatCode="0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90698880"/>
        <c:crosses val="autoZero"/>
        <c:crossBetween val="between"/>
        <c:majorUnit val="400"/>
      </c:valAx>
      <c:spPr>
        <a:ln cmpd="sng">
          <a:solidFill>
            <a:prstClr val="black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Scores over</a:t>
            </a:r>
            <a:r>
              <a:rPr lang="en-NZ" sz="1400" baseline="0"/>
              <a:t> 300 as %</a:t>
            </a:r>
            <a:endParaRPr lang="en-NZ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srgbClr val="F79646">
                <a:lumMod val="75000"/>
                <a:alpha val="71000"/>
              </a:srgbClr>
            </a:solidFill>
            <a:ln>
              <a:solidFill>
                <a:prstClr val="black">
                  <a:alpha val="89000"/>
                </a:prstClr>
              </a:solidFill>
            </a:ln>
          </c:spPr>
          <c:dLbls>
            <c:showVal val="1"/>
          </c:dLbls>
          <c:cat>
            <c:strRef>
              <c:f>Sheet1!$A$49:$A$60</c:f>
              <c:strCache>
                <c:ptCount val="12"/>
                <c:pt idx="0">
                  <c:v>Eden Park Outer</c:v>
                </c:pt>
                <c:pt idx="1">
                  <c:v>Basin Reserve</c:v>
                </c:pt>
                <c:pt idx="2">
                  <c:v>Queens Park</c:v>
                </c:pt>
                <c:pt idx="3">
                  <c:v>Colin Maiden</c:v>
                </c:pt>
                <c:pt idx="4">
                  <c:v>McLean Park</c:v>
                </c:pt>
                <c:pt idx="5">
                  <c:v>Mainpower</c:v>
                </c:pt>
                <c:pt idx="6">
                  <c:v>Seddon Park</c:v>
                </c:pt>
                <c:pt idx="7">
                  <c:v>Cobham Oval</c:v>
                </c:pt>
                <c:pt idx="8">
                  <c:v>Harry Barker</c:v>
                </c:pt>
                <c:pt idx="9">
                  <c:v>Hagley Oval</c:v>
                </c:pt>
                <c:pt idx="10">
                  <c:v>University Oval</c:v>
                </c:pt>
                <c:pt idx="11">
                  <c:v>Queenstown</c:v>
                </c:pt>
              </c:strCache>
            </c:strRef>
          </c:cat>
          <c:val>
            <c:numRef>
              <c:f>Sheet1!$B$49:$B$60</c:f>
              <c:numCache>
                <c:formatCode>0.00%</c:formatCode>
                <c:ptCount val="12"/>
                <c:pt idx="0">
                  <c:v>0.59090909090909094</c:v>
                </c:pt>
                <c:pt idx="1">
                  <c:v>0.47422680412371132</c:v>
                </c:pt>
                <c:pt idx="2">
                  <c:v>0.47368421052631576</c:v>
                </c:pt>
                <c:pt idx="3">
                  <c:v>0.44444444444444442</c:v>
                </c:pt>
                <c:pt idx="4">
                  <c:v>0.42222222222222228</c:v>
                </c:pt>
                <c:pt idx="5">
                  <c:v>0.41772151898734183</c:v>
                </c:pt>
                <c:pt idx="6">
                  <c:v>0.4166666666666668</c:v>
                </c:pt>
                <c:pt idx="7">
                  <c:v>0.38095238095238104</c:v>
                </c:pt>
                <c:pt idx="8">
                  <c:v>0.36842105263157893</c:v>
                </c:pt>
                <c:pt idx="9">
                  <c:v>0.34883720930232565</c:v>
                </c:pt>
                <c:pt idx="10">
                  <c:v>0.3461538461538462</c:v>
                </c:pt>
                <c:pt idx="11">
                  <c:v>0.32432432432432445</c:v>
                </c:pt>
              </c:numCache>
            </c:numRef>
          </c:val>
        </c:ser>
        <c:axId val="95366528"/>
        <c:axId val="95376896"/>
      </c:barChart>
      <c:catAx>
        <c:axId val="95366528"/>
        <c:scaling>
          <c:orientation val="minMax"/>
        </c:scaling>
        <c:axPos val="b"/>
        <c:tickLblPos val="nextTo"/>
        <c:txPr>
          <a:bodyPr/>
          <a:lstStyle/>
          <a:p>
            <a:pPr>
              <a:defRPr baseline="0"/>
            </a:pPr>
            <a:endParaRPr lang="en-US"/>
          </a:p>
        </c:txPr>
        <c:crossAx val="95376896"/>
        <c:crosses val="autoZero"/>
        <c:auto val="1"/>
        <c:lblAlgn val="ctr"/>
        <c:lblOffset val="100"/>
      </c:catAx>
      <c:valAx>
        <c:axId val="95376896"/>
        <c:scaling>
          <c:orientation val="minMax"/>
        </c:scaling>
        <c:axPos val="l"/>
        <c:majorGridlines/>
        <c:numFmt formatCode="0.00%" sourceLinked="1"/>
        <c:tickLblPos val="nextTo"/>
        <c:crossAx val="95366528"/>
        <c:crosses val="autoZero"/>
        <c:crossBetween val="between"/>
      </c:valAx>
      <c:spPr>
        <a:ln cmpd="sng">
          <a:solidFill>
            <a:sysClr val="windowText" lastClr="000000"/>
          </a:solidFill>
        </a:ln>
      </c:spPr>
    </c:plotArea>
    <c:plotVisOnly val="1"/>
  </c:chart>
  <c:txPr>
    <a:bodyPr/>
    <a:lstStyle/>
    <a:p>
      <a:pPr>
        <a:defRPr sz="800" baseline="0">
          <a:latin typeface="Arial" pitchFamily="34" charset="0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LBW</a:t>
            </a:r>
            <a:r>
              <a:rPr lang="en-NZ" sz="1400" baseline="0"/>
              <a:t> as % of dismissals</a:t>
            </a:r>
            <a:endParaRPr lang="en-NZ" sz="1400"/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prstClr val="black">
                <a:lumMod val="65000"/>
                <a:lumOff val="35000"/>
                <a:alpha val="66000"/>
              </a:prstClr>
            </a:solidFill>
            <a:ln>
              <a:solidFill>
                <a:sysClr val="windowText" lastClr="000000">
                  <a:alpha val="86000"/>
                </a:sysClr>
              </a:solidFill>
            </a:ln>
          </c:spPr>
          <c:dLbls>
            <c:txPr>
              <a:bodyPr/>
              <a:lstStyle/>
              <a:p>
                <a:pPr>
                  <a:defRPr sz="70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Sheet1!$K$49:$K$60</c:f>
              <c:strCache>
                <c:ptCount val="12"/>
                <c:pt idx="0">
                  <c:v>Queens Park</c:v>
                </c:pt>
                <c:pt idx="1">
                  <c:v>Harry Barker</c:v>
                </c:pt>
                <c:pt idx="2">
                  <c:v>Colin Maiden</c:v>
                </c:pt>
                <c:pt idx="3">
                  <c:v>Seddon Park</c:v>
                </c:pt>
                <c:pt idx="4">
                  <c:v>Cobham Oval</c:v>
                </c:pt>
                <c:pt idx="5">
                  <c:v>Basin Reserve</c:v>
                </c:pt>
                <c:pt idx="6">
                  <c:v>McLean Park</c:v>
                </c:pt>
                <c:pt idx="7">
                  <c:v>Hagley Oval</c:v>
                </c:pt>
                <c:pt idx="8">
                  <c:v>Queenstown</c:v>
                </c:pt>
                <c:pt idx="9">
                  <c:v>Eden Outer</c:v>
                </c:pt>
                <c:pt idx="10">
                  <c:v>Mainpower</c:v>
                </c:pt>
                <c:pt idx="11">
                  <c:v>University Oval</c:v>
                </c:pt>
              </c:strCache>
            </c:strRef>
          </c:cat>
          <c:val>
            <c:numRef>
              <c:f>Sheet1!$L$49:$L$60</c:f>
              <c:numCache>
                <c:formatCode>0.00%</c:formatCode>
                <c:ptCount val="12"/>
                <c:pt idx="0">
                  <c:v>0.10144927536231886</c:v>
                </c:pt>
                <c:pt idx="1">
                  <c:v>0.14012738853503187</c:v>
                </c:pt>
                <c:pt idx="2">
                  <c:v>0.1466666666666667</c:v>
                </c:pt>
                <c:pt idx="3">
                  <c:v>0.14951456310679617</c:v>
                </c:pt>
                <c:pt idx="4">
                  <c:v>0.15365239294710331</c:v>
                </c:pt>
                <c:pt idx="5">
                  <c:v>0.15762925598991173</c:v>
                </c:pt>
                <c:pt idx="6">
                  <c:v>0.15844155844155844</c:v>
                </c:pt>
                <c:pt idx="7">
                  <c:v>0.15945945945945952</c:v>
                </c:pt>
                <c:pt idx="8">
                  <c:v>0.16083916083916086</c:v>
                </c:pt>
                <c:pt idx="9">
                  <c:v>0.16390423572744023</c:v>
                </c:pt>
                <c:pt idx="10">
                  <c:v>0.17159763313609472</c:v>
                </c:pt>
                <c:pt idx="11">
                  <c:v>0.17699115044247796</c:v>
                </c:pt>
              </c:numCache>
            </c:numRef>
          </c:val>
        </c:ser>
        <c:axId val="113139712"/>
        <c:axId val="113141248"/>
      </c:barChart>
      <c:catAx>
        <c:axId val="11313971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13141248"/>
        <c:crosses val="autoZero"/>
        <c:auto val="1"/>
        <c:lblAlgn val="ctr"/>
        <c:lblOffset val="100"/>
      </c:catAx>
      <c:valAx>
        <c:axId val="113141248"/>
        <c:scaling>
          <c:orientation val="minMax"/>
          <c:max val="0.2"/>
          <c:min val="0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13139712"/>
        <c:crosses val="autoZero"/>
        <c:crossBetween val="between"/>
        <c:majorUnit val="4.0000000000000022E-2"/>
      </c:valAx>
      <c:spPr>
        <a:ln>
          <a:solidFill>
            <a:sysClr val="windowText" lastClr="000000">
              <a:alpha val="94000"/>
            </a:sysClr>
          </a:solidFill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>
                <a:latin typeface="Arial" pitchFamily="34" charset="0"/>
                <a:cs typeface="Arial" pitchFamily="34" charset="0"/>
              </a:defRPr>
            </a:pPr>
            <a:r>
              <a:rPr lang="en-NZ" sz="1400">
                <a:latin typeface="Arial" pitchFamily="34" charset="0"/>
                <a:cs typeface="Arial" pitchFamily="34" charset="0"/>
              </a:rPr>
              <a:t>Runs</a:t>
            </a:r>
            <a:r>
              <a:rPr lang="en-NZ" sz="1400" baseline="0">
                <a:latin typeface="Arial" pitchFamily="34" charset="0"/>
                <a:cs typeface="Arial" pitchFamily="34" charset="0"/>
              </a:rPr>
              <a:t> per wicket</a:t>
            </a:r>
            <a:endParaRPr lang="en-NZ" sz="1400">
              <a:latin typeface="Arial" pitchFamily="34" charset="0"/>
              <a:cs typeface="Arial" pitchFamily="34" charset="0"/>
            </a:endParaRPr>
          </a:p>
        </c:rich>
      </c:tx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>
                <a:lumMod val="75000"/>
              </a:schemeClr>
            </a:solidFill>
            <a:ln>
              <a:solidFill>
                <a:sysClr val="windowText" lastClr="000000">
                  <a:alpha val="89000"/>
                </a:sysClr>
              </a:solidFill>
            </a:ln>
          </c:spPr>
          <c:dLbls>
            <c:txPr>
              <a:bodyPr/>
              <a:lstStyle/>
              <a:p>
                <a:pPr>
                  <a:defRPr sz="700">
                    <a:latin typeface="Arial" pitchFamily="34" charset="0"/>
                    <a:cs typeface="Arial" pitchFamily="34" charset="0"/>
                  </a:defRPr>
                </a:pPr>
                <a:endParaRPr lang="en-US"/>
              </a:p>
            </c:txPr>
            <c:showVal val="1"/>
          </c:dLbls>
          <c:cat>
            <c:strRef>
              <c:f>Sheet1!$F$49:$F$60</c:f>
              <c:strCache>
                <c:ptCount val="12"/>
                <c:pt idx="0">
                  <c:v>Eden Park Outer</c:v>
                </c:pt>
                <c:pt idx="1">
                  <c:v>Queens Park</c:v>
                </c:pt>
                <c:pt idx="2">
                  <c:v>Basin Reserve</c:v>
                </c:pt>
                <c:pt idx="3">
                  <c:v>Queenstown</c:v>
                </c:pt>
                <c:pt idx="4">
                  <c:v>McLean Park</c:v>
                </c:pt>
                <c:pt idx="5">
                  <c:v>Colin Maiden</c:v>
                </c:pt>
                <c:pt idx="6">
                  <c:v>Mainpower </c:v>
                </c:pt>
                <c:pt idx="7">
                  <c:v>Seddon Park</c:v>
                </c:pt>
                <c:pt idx="8">
                  <c:v>Cobham Oval</c:v>
                </c:pt>
                <c:pt idx="9">
                  <c:v>University Oval</c:v>
                </c:pt>
                <c:pt idx="10">
                  <c:v>Harry Barker</c:v>
                </c:pt>
                <c:pt idx="11">
                  <c:v>Hagley Oval</c:v>
                </c:pt>
              </c:strCache>
            </c:strRef>
          </c:cat>
          <c:val>
            <c:numRef>
              <c:f>Sheet1!$G$49:$G$60</c:f>
              <c:numCache>
                <c:formatCode>0.00</c:formatCode>
                <c:ptCount val="12"/>
                <c:pt idx="0">
                  <c:v>39.209944751381208</c:v>
                </c:pt>
                <c:pt idx="1">
                  <c:v>37.760869565217376</c:v>
                </c:pt>
                <c:pt idx="2">
                  <c:v>36.05674653215636</c:v>
                </c:pt>
                <c:pt idx="3">
                  <c:v>34.8951048951049</c:v>
                </c:pt>
                <c:pt idx="4">
                  <c:v>34.633766233766224</c:v>
                </c:pt>
                <c:pt idx="5">
                  <c:v>34.231666666666648</c:v>
                </c:pt>
                <c:pt idx="6">
                  <c:v>34.042899408284015</c:v>
                </c:pt>
                <c:pt idx="7">
                  <c:v>33.530097087378635</c:v>
                </c:pt>
                <c:pt idx="8">
                  <c:v>31.846347607052895</c:v>
                </c:pt>
                <c:pt idx="9">
                  <c:v>31.564896755162238</c:v>
                </c:pt>
                <c:pt idx="10">
                  <c:v>30.146496815286625</c:v>
                </c:pt>
                <c:pt idx="11">
                  <c:v>29.432432432432428</c:v>
                </c:pt>
              </c:numCache>
            </c:numRef>
          </c:val>
        </c:ser>
        <c:axId val="89695744"/>
        <c:axId val="89697280"/>
      </c:barChart>
      <c:catAx>
        <c:axId val="89695744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9697280"/>
        <c:crosses val="autoZero"/>
        <c:auto val="1"/>
        <c:lblAlgn val="ctr"/>
        <c:lblOffset val="100"/>
      </c:catAx>
      <c:valAx>
        <c:axId val="89697280"/>
        <c:scaling>
          <c:orientation val="minMax"/>
          <c:max val="40"/>
          <c:min val="0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89695744"/>
        <c:crosses val="autoZero"/>
        <c:crossBetween val="between"/>
        <c:majorUnit val="10"/>
      </c:valAx>
      <c:spPr>
        <a:ln cmpd="sng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2016-09-28T00:06:00Z</dcterms:created>
  <dcterms:modified xsi:type="dcterms:W3CDTF">2016-09-28T00:06:00Z</dcterms:modified>
</cp:coreProperties>
</file>