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144" w:rsidRDefault="00E44144">
      <w:r w:rsidRPr="00E44144">
        <w:drawing>
          <wp:inline distT="0" distB="0" distL="0" distR="0">
            <wp:extent cx="5003800" cy="2114550"/>
            <wp:effectExtent l="19050" t="0" r="2540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44144" w:rsidRDefault="00E44144"/>
    <w:p w:rsidR="00E44144" w:rsidRDefault="00E44144">
      <w:r w:rsidRPr="00E44144">
        <w:drawing>
          <wp:inline distT="0" distB="0" distL="0" distR="0">
            <wp:extent cx="4984750" cy="2851150"/>
            <wp:effectExtent l="19050" t="0" r="25400" b="63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44144" w:rsidRDefault="00E44144"/>
    <w:p w:rsidR="00E44144" w:rsidRDefault="00E44144">
      <w:r w:rsidRPr="00E44144">
        <w:drawing>
          <wp:inline distT="0" distB="0" distL="0" distR="0">
            <wp:extent cx="4972050" cy="2774950"/>
            <wp:effectExtent l="19050" t="0" r="19050" b="63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44144" w:rsidRDefault="00E44144">
      <w:r w:rsidRPr="00E44144">
        <w:lastRenderedPageBreak/>
        <w:drawing>
          <wp:inline distT="0" distB="0" distL="0" distR="0">
            <wp:extent cx="4978400" cy="2755900"/>
            <wp:effectExtent l="19050" t="0" r="12700" b="63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E44144" w:rsidSect="00933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4144"/>
    <w:rsid w:val="0061252A"/>
    <w:rsid w:val="009334C7"/>
    <w:rsid w:val="00E44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1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20.20%20stats\all%20balls%20all%20runs%20all%20teams%2005-06%20to19-20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20.20%20stats\all%20teams%20r-o,%20r-w,%20s-r%2015%20season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20.20%20stats\all%20teams%20r-o,%20r-w,%20s-r%2015%20season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20.20%20stats\all%20teams%20r-o,%20r-w,%20s-r%2015%20season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 sz="1200"/>
            </a:pPr>
            <a:r>
              <a:rPr lang="en-NZ" sz="1200"/>
              <a:t>Canterbury</a:t>
            </a:r>
            <a:r>
              <a:rPr lang="en-NZ" sz="1200" baseline="0"/>
              <a:t> runs/over 15 seasons </a:t>
            </a:r>
            <a:endParaRPr lang="en-NZ" sz="1200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diamond"/>
            <c:size val="4"/>
            <c:spPr>
              <a:solidFill>
                <a:srgbClr val="FF0000"/>
              </a:solidFill>
            </c:spPr>
          </c:marker>
          <c:dLbls>
            <c:dLbl>
              <c:idx val="3"/>
              <c:layout>
                <c:manualLayout>
                  <c:x val="-4.1237113402061855E-2"/>
                  <c:y val="-4.5871559633027505E-2"/>
                </c:manualLayout>
              </c:layout>
              <c:showVal val="1"/>
            </c:dLbl>
            <c:dLbl>
              <c:idx val="4"/>
              <c:layout>
                <c:manualLayout>
                  <c:x val="-3.0927835051546445E-2"/>
                  <c:y val="5.0458715596330188E-2"/>
                </c:manualLayout>
              </c:layout>
              <c:showVal val="1"/>
            </c:dLbl>
            <c:dLbl>
              <c:idx val="5"/>
              <c:layout>
                <c:manualLayout>
                  <c:x val="-1.5463917525773148E-2"/>
                  <c:y val="4.5871559633027505E-2"/>
                </c:manualLayout>
              </c:layout>
              <c:showVal val="1"/>
            </c:dLbl>
            <c:dLbl>
              <c:idx val="6"/>
              <c:layout>
                <c:manualLayout>
                  <c:x val="-5.1546391752577317E-2"/>
                  <c:y val="-5.50458715596331E-2"/>
                </c:manualLayout>
              </c:layout>
              <c:showVal val="1"/>
            </c:dLbl>
            <c:dLbl>
              <c:idx val="8"/>
              <c:layout>
                <c:manualLayout>
                  <c:x val="-6.7010309278350513E-2"/>
                  <c:y val="3.6697247706422131E-2"/>
                </c:manualLayout>
              </c:layout>
              <c:showVal val="1"/>
            </c:dLbl>
            <c:dLbl>
              <c:idx val="9"/>
              <c:layout>
                <c:manualLayout>
                  <c:x val="-1.8041237113402067E-2"/>
                  <c:y val="-5.9633027522935901E-2"/>
                </c:manualLayout>
              </c:layout>
              <c:showVal val="1"/>
            </c:dLbl>
            <c:dLbl>
              <c:idx val="10"/>
              <c:layout>
                <c:manualLayout>
                  <c:x val="-4.6391752577319555E-2"/>
                  <c:y val="5.9633027522935832E-2"/>
                </c:manualLayout>
              </c:layout>
              <c:showVal val="1"/>
            </c:dLbl>
            <c:dLbl>
              <c:idx val="11"/>
              <c:layout>
                <c:manualLayout>
                  <c:x val="-1.5463917525773196E-2"/>
                  <c:y val="5.9633027522935901E-2"/>
                </c:manualLayout>
              </c:layout>
              <c:showVal val="1"/>
            </c:dLbl>
            <c:dLbl>
              <c:idx val="12"/>
              <c:layout>
                <c:manualLayout>
                  <c:x val="-5.4123711340206437E-2"/>
                  <c:y val="-4.5871559633027505E-2"/>
                </c:manualLayout>
              </c:layout>
              <c:showVal val="1"/>
            </c:dLbl>
            <c:dLbl>
              <c:idx val="13"/>
              <c:layout>
                <c:manualLayout>
                  <c:x val="-4.1237113402061855E-2"/>
                  <c:y val="5.9633027522935901E-2"/>
                </c:manualLayout>
              </c:layout>
              <c:showVal val="1"/>
            </c:dLbl>
            <c:dLbl>
              <c:idx val="14"/>
              <c:layout>
                <c:manualLayout>
                  <c:x val="-5.6701030927835197E-2"/>
                  <c:y val="-5.0458715596330313E-2"/>
                </c:manualLayout>
              </c:layout>
              <c:showVal val="1"/>
            </c:dLbl>
            <c:txPr>
              <a:bodyPr/>
              <a:lstStyle/>
              <a:p>
                <a:pPr>
                  <a:defRPr sz="800"/>
                </a:pPr>
                <a:endParaRPr lang="en-US"/>
              </a:p>
            </c:txPr>
            <c:showVal val="1"/>
          </c:dLbls>
          <c:cat>
            <c:strRef>
              <c:f>Sheet1!$T$5:$T$19</c:f>
              <c:strCache>
                <c:ptCount val="15"/>
                <c:pt idx="0">
                  <c:v>2005/06</c:v>
                </c:pt>
                <c:pt idx="1">
                  <c:v>2006/07</c:v>
                </c:pt>
                <c:pt idx="2">
                  <c:v>2007/08</c:v>
                </c:pt>
                <c:pt idx="3">
                  <c:v>2008/09</c:v>
                </c:pt>
                <c:pt idx="4">
                  <c:v>2009/10</c:v>
                </c:pt>
                <c:pt idx="5">
                  <c:v>2010/11</c:v>
                </c:pt>
                <c:pt idx="6">
                  <c:v>2011/12</c:v>
                </c:pt>
                <c:pt idx="7">
                  <c:v>2012/13</c:v>
                </c:pt>
                <c:pt idx="8">
                  <c:v>2013/14</c:v>
                </c:pt>
                <c:pt idx="9">
                  <c:v>2014/15</c:v>
                </c:pt>
                <c:pt idx="10">
                  <c:v>2015/16</c:v>
                </c:pt>
                <c:pt idx="11">
                  <c:v>2016/17    </c:v>
                </c:pt>
                <c:pt idx="12">
                  <c:v>2017/18</c:v>
                </c:pt>
                <c:pt idx="13">
                  <c:v>2018/19</c:v>
                </c:pt>
                <c:pt idx="14">
                  <c:v>2019/20</c:v>
                </c:pt>
              </c:strCache>
            </c:strRef>
          </c:cat>
          <c:val>
            <c:numRef>
              <c:f>Sheet1!$U$5:$U$19</c:f>
              <c:numCache>
                <c:formatCode>0.00</c:formatCode>
                <c:ptCount val="15"/>
                <c:pt idx="0">
                  <c:v>9.5140186915887828</c:v>
                </c:pt>
                <c:pt idx="1">
                  <c:v>7.8444846292947537</c:v>
                </c:pt>
                <c:pt idx="2">
                  <c:v>6.7257240204429305</c:v>
                </c:pt>
                <c:pt idx="3">
                  <c:v>7.788321167883212</c:v>
                </c:pt>
                <c:pt idx="4">
                  <c:v>7.6051948051948051</c:v>
                </c:pt>
                <c:pt idx="5">
                  <c:v>8.2057942057942075</c:v>
                </c:pt>
                <c:pt idx="6">
                  <c:v>8.8975069252077574</c:v>
                </c:pt>
                <c:pt idx="7">
                  <c:v>8.6486941870261145</c:v>
                </c:pt>
                <c:pt idx="8">
                  <c:v>8.1456436931079352</c:v>
                </c:pt>
                <c:pt idx="9">
                  <c:v>7.8037466547725263</c:v>
                </c:pt>
                <c:pt idx="10">
                  <c:v>7.7218309859154921</c:v>
                </c:pt>
                <c:pt idx="11">
                  <c:v>7.8465227817745813</c:v>
                </c:pt>
                <c:pt idx="12">
                  <c:v>8.5148698884758343</c:v>
                </c:pt>
                <c:pt idx="13" formatCode="General">
                  <c:v>8.07</c:v>
                </c:pt>
                <c:pt idx="14" formatCode="General">
                  <c:v>8.41</c:v>
                </c:pt>
              </c:numCache>
            </c:numRef>
          </c:val>
        </c:ser>
        <c:marker val="1"/>
        <c:axId val="71692288"/>
        <c:axId val="71694592"/>
      </c:lineChart>
      <c:catAx>
        <c:axId val="71692288"/>
        <c:scaling>
          <c:orientation val="minMax"/>
        </c:scaling>
        <c:axPos val="b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71694592"/>
        <c:crosses val="autoZero"/>
        <c:auto val="1"/>
        <c:lblAlgn val="ctr"/>
        <c:lblOffset val="100"/>
        <c:tickLblSkip val="2"/>
        <c:tickMarkSkip val="2"/>
      </c:catAx>
      <c:valAx>
        <c:axId val="71694592"/>
        <c:scaling>
          <c:orientation val="minMax"/>
          <c:min val="6"/>
        </c:scaling>
        <c:axPos val="l"/>
        <c:majorGridlines/>
        <c:numFmt formatCode="0.00" sourceLinked="1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71692288"/>
        <c:crosses val="autoZero"/>
        <c:crossBetween val="between"/>
      </c:valAx>
      <c:spPr>
        <a:noFill/>
        <a:ln>
          <a:solidFill>
            <a:schemeClr val="tx1"/>
          </a:solidFill>
        </a:ln>
      </c:spPr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/>
            </a:pPr>
            <a:r>
              <a:rPr lang="en-NZ" sz="1400"/>
              <a:t>Runs per wicket all teams</a:t>
            </a:r>
          </a:p>
        </c:rich>
      </c:tx>
    </c:title>
    <c:plotArea>
      <c:layout/>
      <c:lineChart>
        <c:grouping val="standard"/>
        <c:ser>
          <c:idx val="0"/>
          <c:order val="0"/>
          <c:marker>
            <c:symbol val="diamond"/>
            <c:size val="4"/>
            <c:spPr>
              <a:solidFill>
                <a:srgbClr val="FF0000"/>
              </a:solidFill>
            </c:spPr>
          </c:marker>
          <c:dLbls>
            <c:dLbl>
              <c:idx val="2"/>
              <c:layout>
                <c:manualLayout>
                  <c:x val="-3.5668789808917196E-2"/>
                  <c:y val="-4.8997772828507834E-2"/>
                </c:manualLayout>
              </c:layout>
              <c:showVal val="1"/>
            </c:dLbl>
            <c:dLbl>
              <c:idx val="3"/>
              <c:layout>
                <c:manualLayout>
                  <c:x val="-7.6433121019108402E-3"/>
                  <c:y val="-5.3452115812917637E-2"/>
                </c:manualLayout>
              </c:layout>
              <c:showVal val="1"/>
            </c:dLbl>
            <c:dLbl>
              <c:idx val="4"/>
              <c:layout>
                <c:manualLayout>
                  <c:x val="-6.8789808917197451E-2"/>
                  <c:y val="3.5634743875278513E-2"/>
                </c:manualLayout>
              </c:layout>
              <c:showVal val="1"/>
            </c:dLbl>
            <c:dLbl>
              <c:idx val="7"/>
              <c:layout>
                <c:manualLayout>
                  <c:x val="-6.369426751592358E-2"/>
                  <c:y val="-4.4543429844098106E-2"/>
                </c:manualLayout>
              </c:layout>
              <c:showVal val="1"/>
            </c:dLbl>
            <c:dLbl>
              <c:idx val="9"/>
              <c:layout>
                <c:manualLayout>
                  <c:x val="-8.6624203821656198E-2"/>
                  <c:y val="1.7817371937639197E-2"/>
                </c:manualLayout>
              </c:layout>
              <c:showVal val="1"/>
            </c:dLbl>
            <c:dLbl>
              <c:idx val="11"/>
              <c:layout>
                <c:manualLayout>
                  <c:x val="-6.6242038216560398E-2"/>
                  <c:y val="-3.1180400890868598E-2"/>
                </c:manualLayout>
              </c:layout>
              <c:showVal val="1"/>
            </c:dLbl>
            <c:dLbl>
              <c:idx val="12"/>
              <c:layout>
                <c:manualLayout>
                  <c:x val="-5.8598726114649731E-2"/>
                  <c:y val="4.4543429844097968E-2"/>
                </c:manualLayout>
              </c:layout>
              <c:showVal val="1"/>
            </c:dLbl>
            <c:dLbl>
              <c:idx val="13"/>
              <c:layout>
                <c:manualLayout>
                  <c:x val="-2.0382165605095551E-2"/>
                  <c:y val="4.4543429844098162E-2"/>
                </c:manualLayout>
              </c:layout>
              <c:showVal val="1"/>
            </c:dLbl>
            <c:dLbl>
              <c:idx val="14"/>
              <c:layout>
                <c:manualLayout>
                  <c:x val="-5.605095541401274E-2"/>
                  <c:y val="-4.0089086859688282E-2"/>
                </c:manualLayout>
              </c:layout>
              <c:showVal val="1"/>
            </c:dLbl>
            <c:spPr>
              <a:noFill/>
            </c:spPr>
            <c:txPr>
              <a:bodyPr/>
              <a:lstStyle/>
              <a:p>
                <a:pPr>
                  <a:defRPr sz="800"/>
                </a:pPr>
                <a:endParaRPr lang="en-US"/>
              </a:p>
            </c:txPr>
            <c:showVal val="1"/>
          </c:dLbls>
          <c:trendline>
            <c:spPr>
              <a:ln w="12700">
                <a:solidFill>
                  <a:sysClr val="windowText" lastClr="000000">
                    <a:alpha val="62000"/>
                  </a:sysClr>
                </a:solidFill>
              </a:ln>
            </c:spPr>
            <c:trendlineType val="linear"/>
          </c:trendline>
          <c:cat>
            <c:strRef>
              <c:f>Sheet1!$A$38:$A$52</c:f>
              <c:strCache>
                <c:ptCount val="15"/>
                <c:pt idx="0">
                  <c:v>2005/06</c:v>
                </c:pt>
                <c:pt idx="1">
                  <c:v>2006/07</c:v>
                </c:pt>
                <c:pt idx="2">
                  <c:v>2007/08</c:v>
                </c:pt>
                <c:pt idx="3">
                  <c:v>2008/09</c:v>
                </c:pt>
                <c:pt idx="4">
                  <c:v>2009/10</c:v>
                </c:pt>
                <c:pt idx="5">
                  <c:v>2010/11</c:v>
                </c:pt>
                <c:pt idx="6">
                  <c:v>2011/12</c:v>
                </c:pt>
                <c:pt idx="7">
                  <c:v>2012/13</c:v>
                </c:pt>
                <c:pt idx="8">
                  <c:v>2013/14</c:v>
                </c:pt>
                <c:pt idx="9">
                  <c:v>2014/15</c:v>
                </c:pt>
                <c:pt idx="10">
                  <c:v>2015/16</c:v>
                </c:pt>
                <c:pt idx="11">
                  <c:v>2016/17</c:v>
                </c:pt>
                <c:pt idx="12">
                  <c:v>2017/18</c:v>
                </c:pt>
                <c:pt idx="13">
                  <c:v>2018/89</c:v>
                </c:pt>
                <c:pt idx="14">
                  <c:v>2019/20</c:v>
                </c:pt>
              </c:strCache>
            </c:strRef>
          </c:cat>
          <c:val>
            <c:numRef>
              <c:f>Sheet1!$B$38:$B$52</c:f>
              <c:numCache>
                <c:formatCode>0.00</c:formatCode>
                <c:ptCount val="15"/>
                <c:pt idx="0">
                  <c:v>29.479999999999997</c:v>
                </c:pt>
                <c:pt idx="1">
                  <c:v>23.88</c:v>
                </c:pt>
                <c:pt idx="2">
                  <c:v>25.97</c:v>
                </c:pt>
                <c:pt idx="3">
                  <c:v>23.24</c:v>
                </c:pt>
                <c:pt idx="4">
                  <c:v>22.479999999999997</c:v>
                </c:pt>
                <c:pt idx="5">
                  <c:v>22.610000000000003</c:v>
                </c:pt>
                <c:pt idx="6">
                  <c:v>24.810000000000002</c:v>
                </c:pt>
                <c:pt idx="7">
                  <c:v>27.85</c:v>
                </c:pt>
                <c:pt idx="8">
                  <c:v>25.32</c:v>
                </c:pt>
                <c:pt idx="9">
                  <c:v>24.110000000000003</c:v>
                </c:pt>
                <c:pt idx="10">
                  <c:v>22.18</c:v>
                </c:pt>
                <c:pt idx="11">
                  <c:v>27.88</c:v>
                </c:pt>
                <c:pt idx="12">
                  <c:v>24.01</c:v>
                </c:pt>
                <c:pt idx="13" formatCode="General">
                  <c:v>24.47</c:v>
                </c:pt>
                <c:pt idx="14" formatCode="General">
                  <c:v>26.71</c:v>
                </c:pt>
              </c:numCache>
            </c:numRef>
          </c:val>
        </c:ser>
        <c:marker val="1"/>
        <c:axId val="116648960"/>
        <c:axId val="126943616"/>
      </c:lineChart>
      <c:catAx>
        <c:axId val="116648960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126943616"/>
        <c:crosses val="autoZero"/>
        <c:auto val="1"/>
        <c:lblAlgn val="ctr"/>
        <c:lblOffset val="100"/>
        <c:tickLblSkip val="2"/>
        <c:tickMarkSkip val="2"/>
      </c:catAx>
      <c:valAx>
        <c:axId val="126943616"/>
        <c:scaling>
          <c:orientation val="minMax"/>
          <c:min val="20"/>
        </c:scaling>
        <c:axPos val="l"/>
        <c:majorGridlines/>
        <c:numFmt formatCode="0.00" sourceLinked="1"/>
        <c:tickLblPos val="nextTo"/>
        <c:crossAx val="116648960"/>
        <c:crosses val="autoZero"/>
        <c:crossBetween val="between"/>
      </c:valAx>
      <c:spPr>
        <a:ln w="12700">
          <a:solidFill>
            <a:schemeClr val="tx1"/>
          </a:solidFill>
        </a:ln>
      </c:spPr>
    </c:plotArea>
    <c:plotVisOnly val="1"/>
  </c:chart>
  <c:spPr>
    <a:ln w="12700">
      <a:solidFill>
        <a:sysClr val="windowText" lastClr="000000"/>
      </a:solidFill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 sz="1400"/>
            </a:pPr>
            <a:r>
              <a:rPr lang="en-NZ" sz="1400"/>
              <a:t>Strike</a:t>
            </a:r>
            <a:r>
              <a:rPr lang="en-NZ" sz="1400" baseline="0"/>
              <a:t> rate all teams</a:t>
            </a:r>
            <a:endParaRPr lang="en-NZ" sz="1400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diamond"/>
            <c:size val="4"/>
            <c:spPr>
              <a:solidFill>
                <a:srgbClr val="FF0000"/>
              </a:solidFill>
            </c:spPr>
          </c:marker>
          <c:dLbls>
            <c:dLbl>
              <c:idx val="4"/>
              <c:layout>
                <c:manualLayout>
                  <c:x val="-6.8965517241379379E-2"/>
                  <c:y val="5.0343249427917527E-2"/>
                </c:manualLayout>
              </c:layout>
              <c:showVal val="1"/>
            </c:dLbl>
            <c:dLbl>
              <c:idx val="8"/>
              <c:layout>
                <c:manualLayout>
                  <c:x val="-2.8097062579821239E-2"/>
                  <c:y val="4.1189931350114423E-2"/>
                </c:manualLayout>
              </c:layout>
              <c:showVal val="1"/>
            </c:dLbl>
            <c:dLbl>
              <c:idx val="10"/>
              <c:layout>
                <c:manualLayout>
                  <c:x val="-5.3639846743294951E-2"/>
                  <c:y val="4.1189931350114423E-2"/>
                </c:manualLayout>
              </c:layout>
              <c:showVal val="1"/>
            </c:dLbl>
            <c:dLbl>
              <c:idx val="13"/>
              <c:layout>
                <c:manualLayout>
                  <c:x val="-5.8748403575989767E-2"/>
                  <c:y val="-5.9496567505720938E-2"/>
                </c:manualLayout>
              </c:layout>
              <c:showVal val="1"/>
            </c:dLbl>
            <c:dLbl>
              <c:idx val="14"/>
              <c:layout>
                <c:manualLayout>
                  <c:x val="-3.5759897828863407E-2"/>
                  <c:y val="-6.4073226544622497E-2"/>
                </c:manualLayout>
              </c:layout>
              <c:showVal val="1"/>
            </c:dLbl>
            <c:txPr>
              <a:bodyPr/>
              <a:lstStyle/>
              <a:p>
                <a:pPr>
                  <a:defRPr sz="800"/>
                </a:pPr>
                <a:endParaRPr lang="en-US"/>
              </a:p>
            </c:txPr>
            <c:showVal val="1"/>
          </c:dLbls>
          <c:trendline>
            <c:spPr>
              <a:ln w="12700">
                <a:solidFill>
                  <a:sysClr val="windowText" lastClr="000000"/>
                </a:solidFill>
              </a:ln>
            </c:spPr>
            <c:trendlineType val="linear"/>
          </c:trendline>
          <c:cat>
            <c:strRef>
              <c:f>Sheet1!$D$38:$D$52</c:f>
              <c:strCache>
                <c:ptCount val="15"/>
                <c:pt idx="0">
                  <c:v>2005/06</c:v>
                </c:pt>
                <c:pt idx="1">
                  <c:v>2006/07</c:v>
                </c:pt>
                <c:pt idx="2">
                  <c:v>2007/08</c:v>
                </c:pt>
                <c:pt idx="3">
                  <c:v>2008/09</c:v>
                </c:pt>
                <c:pt idx="4">
                  <c:v>2009/10</c:v>
                </c:pt>
                <c:pt idx="5">
                  <c:v>2010/11</c:v>
                </c:pt>
                <c:pt idx="6">
                  <c:v>2011/12</c:v>
                </c:pt>
                <c:pt idx="7">
                  <c:v>2012/13</c:v>
                </c:pt>
                <c:pt idx="8">
                  <c:v>2013/14</c:v>
                </c:pt>
                <c:pt idx="9">
                  <c:v>2014/15</c:v>
                </c:pt>
                <c:pt idx="10">
                  <c:v>2015/16</c:v>
                </c:pt>
                <c:pt idx="11">
                  <c:v>2016/17</c:v>
                </c:pt>
                <c:pt idx="12">
                  <c:v>2017/18</c:v>
                </c:pt>
                <c:pt idx="13">
                  <c:v>2018/89</c:v>
                </c:pt>
                <c:pt idx="14">
                  <c:v>2019/20</c:v>
                </c:pt>
              </c:strCache>
            </c:strRef>
          </c:cat>
          <c:val>
            <c:numRef>
              <c:f>Sheet1!$E$38:$E$52</c:f>
              <c:numCache>
                <c:formatCode>0.00</c:formatCode>
                <c:ptCount val="15"/>
                <c:pt idx="0">
                  <c:v>20</c:v>
                </c:pt>
                <c:pt idx="1">
                  <c:v>17.420000000000002</c:v>
                </c:pt>
                <c:pt idx="2">
                  <c:v>19.23</c:v>
                </c:pt>
                <c:pt idx="3">
                  <c:v>17.350000000000001</c:v>
                </c:pt>
                <c:pt idx="4">
                  <c:v>16.73</c:v>
                </c:pt>
                <c:pt idx="5">
                  <c:v>16.920000000000002</c:v>
                </c:pt>
                <c:pt idx="6">
                  <c:v>17.87</c:v>
                </c:pt>
                <c:pt idx="7">
                  <c:v>19.630000000000003</c:v>
                </c:pt>
                <c:pt idx="8">
                  <c:v>18.260000000000002</c:v>
                </c:pt>
                <c:pt idx="9">
                  <c:v>19</c:v>
                </c:pt>
                <c:pt idx="10">
                  <c:v>17.16</c:v>
                </c:pt>
                <c:pt idx="11">
                  <c:v>19.52</c:v>
                </c:pt>
                <c:pt idx="12">
                  <c:v>16.600000000000001</c:v>
                </c:pt>
                <c:pt idx="13" formatCode="General">
                  <c:v>17.630000000000003</c:v>
                </c:pt>
                <c:pt idx="14" formatCode="General">
                  <c:v>18.489999999999991</c:v>
                </c:pt>
              </c:numCache>
            </c:numRef>
          </c:val>
        </c:ser>
        <c:marker val="1"/>
        <c:axId val="134039424"/>
        <c:axId val="134041984"/>
      </c:lineChart>
      <c:catAx>
        <c:axId val="134039424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 baseline="0">
                <a:latin typeface="Calibri" pitchFamily="34" charset="0"/>
              </a:defRPr>
            </a:pPr>
            <a:endParaRPr lang="en-US"/>
          </a:p>
        </c:txPr>
        <c:crossAx val="134041984"/>
        <c:crosses val="autoZero"/>
        <c:auto val="1"/>
        <c:lblAlgn val="ctr"/>
        <c:lblOffset val="100"/>
        <c:tickLblSkip val="2"/>
        <c:tickMarkSkip val="2"/>
      </c:catAx>
      <c:valAx>
        <c:axId val="134041984"/>
        <c:scaling>
          <c:orientation val="minMax"/>
          <c:min val="15"/>
        </c:scaling>
        <c:axPos val="l"/>
        <c:majorGridlines/>
        <c:numFmt formatCode="0.00" sourceLinked="1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134039424"/>
        <c:crosses val="autoZero"/>
        <c:crossBetween val="between"/>
      </c:valAx>
      <c:spPr>
        <a:ln>
          <a:solidFill>
            <a:sysClr val="windowText" lastClr="000000">
              <a:alpha val="71000"/>
            </a:sysClr>
          </a:solidFill>
        </a:ln>
      </c:spPr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400"/>
            </a:pPr>
            <a:r>
              <a:rPr lang="en-NZ" sz="1400"/>
              <a:t>Runs per over all teams </a:t>
            </a:r>
          </a:p>
        </c:rich>
      </c:tx>
      <c:layout>
        <c:manualLayout>
          <c:xMode val="edge"/>
          <c:yMode val="edge"/>
          <c:x val="0.31363510364775832"/>
          <c:y val="0"/>
        </c:manualLayout>
      </c:layout>
    </c:title>
    <c:plotArea>
      <c:layout>
        <c:manualLayout>
          <c:layoutTarget val="inner"/>
          <c:xMode val="edge"/>
          <c:yMode val="edge"/>
          <c:x val="9.3085739282589702E-2"/>
          <c:y val="0.11587394317645779"/>
          <c:w val="0.9002793088363954"/>
          <c:h val="0.70879966617076184"/>
        </c:manualLayout>
      </c:layout>
      <c:lineChart>
        <c:grouping val="standard"/>
        <c:ser>
          <c:idx val="0"/>
          <c:order val="0"/>
          <c:marker>
            <c:symbol val="diamond"/>
            <c:size val="4"/>
            <c:spPr>
              <a:solidFill>
                <a:srgbClr val="FF0000">
                  <a:alpha val="89000"/>
                </a:srgbClr>
              </a:solidFill>
            </c:spPr>
          </c:marker>
          <c:dLbls>
            <c:dLbl>
              <c:idx val="1"/>
              <c:layout>
                <c:manualLayout>
                  <c:x val="-1.2755102040816327E-2"/>
                  <c:y val="-3.2258064516129066E-2"/>
                </c:manualLayout>
              </c:layout>
              <c:showVal val="1"/>
            </c:dLbl>
            <c:dLbl>
              <c:idx val="2"/>
              <c:layout>
                <c:manualLayout>
                  <c:x val="-5.6122448979591837E-2"/>
                  <c:y val="4.1474654377880185E-2"/>
                </c:manualLayout>
              </c:layout>
              <c:showVal val="1"/>
            </c:dLbl>
            <c:dLbl>
              <c:idx val="3"/>
              <c:layout>
                <c:manualLayout>
                  <c:x val="-5.3571428571428555E-2"/>
                  <c:y val="5.5299539170506916E-2"/>
                </c:manualLayout>
              </c:layout>
              <c:showVal val="1"/>
            </c:dLbl>
            <c:dLbl>
              <c:idx val="4"/>
              <c:layout>
                <c:manualLayout>
                  <c:x val="-4.336734693877551E-2"/>
                  <c:y val="-5.0691244239631408E-2"/>
                </c:manualLayout>
              </c:layout>
              <c:showVal val="1"/>
            </c:dLbl>
            <c:dLbl>
              <c:idx val="6"/>
              <c:layout>
                <c:manualLayout>
                  <c:x val="-6.6326530612244902E-2"/>
                  <c:y val="-3.6866359447004615E-2"/>
                </c:manualLayout>
              </c:layout>
              <c:showVal val="1"/>
            </c:dLbl>
            <c:dLbl>
              <c:idx val="8"/>
              <c:layout>
                <c:manualLayout>
                  <c:x val="-6.3775510204081634E-2"/>
                  <c:y val="3.6866359447004615E-2"/>
                </c:manualLayout>
              </c:layout>
              <c:showVal val="1"/>
            </c:dLbl>
            <c:dLbl>
              <c:idx val="9"/>
              <c:layout>
                <c:manualLayout>
                  <c:x val="-6.8877551020408184E-2"/>
                  <c:y val="-9.2169527196197358E-3"/>
                </c:manualLayout>
              </c:layout>
              <c:showVal val="1"/>
            </c:dLbl>
            <c:dLbl>
              <c:idx val="10"/>
              <c:layout>
                <c:manualLayout>
                  <c:x val="5.1020408163266239E-3"/>
                  <c:y val="-4.1474654377880185E-2"/>
                </c:manualLayout>
              </c:layout>
              <c:showVal val="1"/>
            </c:dLbl>
            <c:dLbl>
              <c:idx val="11"/>
              <c:layout>
                <c:manualLayout>
                  <c:x val="-8.4183673469387682E-2"/>
                  <c:y val="-1.3824884792626745E-2"/>
                </c:manualLayout>
              </c:layout>
              <c:showVal val="1"/>
            </c:dLbl>
            <c:dLbl>
              <c:idx val="12"/>
              <c:layout>
                <c:manualLayout>
                  <c:x val="-2.8061224489795946E-2"/>
                  <c:y val="-6.4516129032258132E-2"/>
                </c:manualLayout>
              </c:layout>
              <c:showVal val="1"/>
            </c:dLbl>
            <c:dLbl>
              <c:idx val="13"/>
              <c:layout>
                <c:manualLayout>
                  <c:x val="-6.1224489795918373E-2"/>
                  <c:y val="3.6866359447004615E-2"/>
                </c:manualLayout>
              </c:layout>
              <c:showVal val="1"/>
            </c:dLbl>
            <c:dLbl>
              <c:idx val="14"/>
              <c:layout>
                <c:manualLayout>
                  <c:x val="-2.5510204081632647E-2"/>
                  <c:y val="-7.3732718894009286E-2"/>
                </c:manualLayout>
              </c:layout>
              <c:showVal val="1"/>
            </c:dLbl>
            <c:spPr>
              <a:ln>
                <a:noFill/>
              </a:ln>
            </c:spPr>
            <c:txPr>
              <a:bodyPr/>
              <a:lstStyle/>
              <a:p>
                <a:pPr>
                  <a:defRPr sz="900"/>
                </a:pPr>
                <a:endParaRPr lang="en-US"/>
              </a:p>
            </c:txPr>
            <c:showVal val="1"/>
          </c:dLbls>
          <c:trendline>
            <c:spPr>
              <a:ln w="12700">
                <a:solidFill>
                  <a:sysClr val="windowText" lastClr="000000"/>
                </a:solidFill>
              </a:ln>
            </c:spPr>
            <c:trendlineType val="linear"/>
          </c:trendline>
          <c:cat>
            <c:strRef>
              <c:f>Sheet1!$A$21:$A$35</c:f>
              <c:strCache>
                <c:ptCount val="15"/>
                <c:pt idx="0">
                  <c:v>2005/06</c:v>
                </c:pt>
                <c:pt idx="1">
                  <c:v>2006/07</c:v>
                </c:pt>
                <c:pt idx="2">
                  <c:v>2007/08</c:v>
                </c:pt>
                <c:pt idx="3">
                  <c:v>2008/09</c:v>
                </c:pt>
                <c:pt idx="4">
                  <c:v>2009/10</c:v>
                </c:pt>
                <c:pt idx="5">
                  <c:v>2010/11</c:v>
                </c:pt>
                <c:pt idx="6">
                  <c:v>2011/12</c:v>
                </c:pt>
                <c:pt idx="7">
                  <c:v>2012/13</c:v>
                </c:pt>
                <c:pt idx="8">
                  <c:v>2013/14</c:v>
                </c:pt>
                <c:pt idx="9">
                  <c:v>2014/15</c:v>
                </c:pt>
                <c:pt idx="10">
                  <c:v>2015/16</c:v>
                </c:pt>
                <c:pt idx="11">
                  <c:v>2016/17</c:v>
                </c:pt>
                <c:pt idx="12">
                  <c:v>2017/18</c:v>
                </c:pt>
                <c:pt idx="13">
                  <c:v>2018/19</c:v>
                </c:pt>
                <c:pt idx="14">
                  <c:v>2019/20</c:v>
                </c:pt>
              </c:strCache>
            </c:strRef>
          </c:cat>
          <c:val>
            <c:numRef>
              <c:f>Sheet1!$B$21:$B$35</c:f>
              <c:numCache>
                <c:formatCode>0.00</c:formatCode>
                <c:ptCount val="15"/>
                <c:pt idx="0">
                  <c:v>8.84</c:v>
                </c:pt>
                <c:pt idx="1">
                  <c:v>8.2199999999999989</c:v>
                </c:pt>
                <c:pt idx="2">
                  <c:v>8.1</c:v>
                </c:pt>
                <c:pt idx="3">
                  <c:v>8.0400000000000009</c:v>
                </c:pt>
                <c:pt idx="4">
                  <c:v>8.06</c:v>
                </c:pt>
                <c:pt idx="5">
                  <c:v>8.02</c:v>
                </c:pt>
                <c:pt idx="6">
                  <c:v>8.33</c:v>
                </c:pt>
                <c:pt idx="7">
                  <c:v>8.51</c:v>
                </c:pt>
                <c:pt idx="8">
                  <c:v>8.32</c:v>
                </c:pt>
                <c:pt idx="9">
                  <c:v>7.6099999999999994</c:v>
                </c:pt>
                <c:pt idx="10">
                  <c:v>7.76</c:v>
                </c:pt>
                <c:pt idx="11">
                  <c:v>8.57</c:v>
                </c:pt>
                <c:pt idx="12">
                  <c:v>8.68</c:v>
                </c:pt>
                <c:pt idx="13">
                  <c:v>8.33</c:v>
                </c:pt>
                <c:pt idx="14">
                  <c:v>8.67</c:v>
                </c:pt>
              </c:numCache>
            </c:numRef>
          </c:val>
        </c:ser>
        <c:marker val="1"/>
        <c:axId val="144699392"/>
        <c:axId val="214113280"/>
      </c:lineChart>
      <c:catAx>
        <c:axId val="144699392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214113280"/>
        <c:crosses val="autoZero"/>
        <c:auto val="1"/>
        <c:lblAlgn val="ctr"/>
        <c:lblOffset val="100"/>
        <c:tickLblSkip val="2"/>
        <c:tickMarkSkip val="2"/>
      </c:catAx>
      <c:valAx>
        <c:axId val="214113280"/>
        <c:scaling>
          <c:orientation val="minMax"/>
          <c:min val="7.3"/>
        </c:scaling>
        <c:axPos val="l"/>
        <c:majorGridlines/>
        <c:numFmt formatCode="0.00" sourceLinked="1"/>
        <c:tickLblPos val="nextTo"/>
        <c:crossAx val="144699392"/>
        <c:crosses val="autoZero"/>
        <c:crossBetween val="between"/>
      </c:valAx>
    </c:plotArea>
    <c:plotVisOnly val="1"/>
  </c:chart>
  <c:spPr>
    <a:ln>
      <a:solidFill>
        <a:sysClr val="windowText" lastClr="000000">
          <a:alpha val="93000"/>
        </a:sysClr>
      </a:solidFill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2020-02-07T00:25:00Z</dcterms:created>
  <dcterms:modified xsi:type="dcterms:W3CDTF">2020-02-07T01:02:00Z</dcterms:modified>
</cp:coreProperties>
</file>