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0F1" w:rsidRPr="00CE00F1" w:rsidRDefault="00CE00F1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E00F1">
        <w:rPr>
          <w:b/>
          <w:sz w:val="28"/>
          <w:szCs w:val="28"/>
        </w:rPr>
        <w:t xml:space="preserve">List </w:t>
      </w:r>
      <w:proofErr w:type="gramStart"/>
      <w:r w:rsidRPr="00CE00F1">
        <w:rPr>
          <w:b/>
          <w:sz w:val="28"/>
          <w:szCs w:val="28"/>
        </w:rPr>
        <w:t>A</w:t>
      </w:r>
      <w:proofErr w:type="gramEnd"/>
      <w:r w:rsidRPr="00CE00F1">
        <w:rPr>
          <w:b/>
          <w:sz w:val="28"/>
          <w:szCs w:val="28"/>
        </w:rPr>
        <w:t xml:space="preserve"> competition boundaries compared over last ten years</w:t>
      </w:r>
    </w:p>
    <w:p w:rsidR="00CE00F1" w:rsidRDefault="00CE00F1">
      <w:r w:rsidRPr="00CE00F1">
        <w:drawing>
          <wp:inline distT="0" distB="0" distL="0" distR="0">
            <wp:extent cx="7658100" cy="2584450"/>
            <wp:effectExtent l="19050" t="0" r="190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E00F1" w:rsidRDefault="00CE00F1">
      <w:r w:rsidRPr="00CE00F1">
        <w:drawing>
          <wp:inline distT="0" distB="0" distL="0" distR="0">
            <wp:extent cx="7626350" cy="2578100"/>
            <wp:effectExtent l="19050" t="0" r="1270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E00F1" w:rsidRDefault="00CE00F1">
      <w:r w:rsidRPr="00CE00F1">
        <w:lastRenderedPageBreak/>
        <w:drawing>
          <wp:inline distT="0" distB="0" distL="0" distR="0">
            <wp:extent cx="7759700" cy="2870200"/>
            <wp:effectExtent l="19050" t="0" r="1270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CE00F1" w:rsidSect="00CE00F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00F1"/>
    <w:rsid w:val="00C55A3D"/>
    <w:rsid w:val="00CE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4-6%20scores%20all%20teams%20from%202008-09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Brian%20Adams\Google%20Drive\OD%20all%20teams%20results\50%20over%20comp%20runs%20-over%20from%2008-09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Fours and</a:t>
            </a:r>
            <a:r>
              <a:rPr lang="en-NZ" sz="1200" baseline="0"/>
              <a:t> sixes b</a:t>
            </a:r>
            <a:r>
              <a:rPr lang="en-NZ" sz="1200"/>
              <a:t>oundaries</a:t>
            </a:r>
            <a:r>
              <a:rPr lang="en-NZ" sz="1200" baseline="0"/>
              <a:t> % compared over 10 years</a:t>
            </a:r>
            <a:endParaRPr lang="en-NZ" sz="1200"/>
          </a:p>
        </c:rich>
      </c:tx>
    </c:title>
    <c:plotArea>
      <c:layout>
        <c:manualLayout>
          <c:layoutTarget val="inner"/>
          <c:xMode val="edge"/>
          <c:yMode val="edge"/>
          <c:x val="9.4680882281019341E-2"/>
          <c:y val="0.15807867078289226"/>
          <c:w val="0.78772262726418474"/>
          <c:h val="0.73509105414686615"/>
        </c:manualLayout>
      </c:layout>
      <c:lineChart>
        <c:grouping val="standard"/>
        <c:ser>
          <c:idx val="0"/>
          <c:order val="0"/>
          <c:tx>
            <c:strRef>
              <c:f>Sheet1!$J$114</c:f>
              <c:strCache>
                <c:ptCount val="1"/>
                <c:pt idx="0">
                  <c:v>Fours %</c:v>
                </c:pt>
              </c:strCache>
            </c:strRef>
          </c:tx>
          <c:marker>
            <c:symbol val="diamond"/>
            <c:size val="4"/>
            <c:spPr>
              <a:solidFill>
                <a:schemeClr val="tx1"/>
              </a:solidFill>
            </c:spPr>
          </c:marker>
          <c:dLbls>
            <c:dLbl>
              <c:idx val="0"/>
              <c:layout>
                <c:manualLayout>
                  <c:x val="-1.4492753623188411E-2"/>
                  <c:y val="6.3965884861407293E-2"/>
                </c:manualLayout>
              </c:layout>
              <c:showVal val="1"/>
            </c:dLbl>
            <c:dLbl>
              <c:idx val="1"/>
              <c:layout>
                <c:manualLayout>
                  <c:x val="-2.0703933747411998E-2"/>
                  <c:y val="4.6908315565031979E-2"/>
                </c:manualLayout>
              </c:layout>
              <c:showVal val="1"/>
            </c:dLbl>
            <c:dLbl>
              <c:idx val="2"/>
              <c:layout>
                <c:manualLayout>
                  <c:x val="-2.6915113871635622E-2"/>
                  <c:y val="5.5437100213219639E-2"/>
                </c:manualLayout>
              </c:layout>
              <c:showVal val="1"/>
            </c:dLbl>
            <c:dLbl>
              <c:idx val="3"/>
              <c:layout>
                <c:manualLayout>
                  <c:x val="-1.6563146997929688E-2"/>
                  <c:y val="3.4115138592750595E-2"/>
                </c:manualLayout>
              </c:layout>
              <c:showVal val="1"/>
            </c:dLbl>
            <c:dLbl>
              <c:idx val="4"/>
              <c:layout>
                <c:manualLayout>
                  <c:x val="-3.1055900621117981E-2"/>
                  <c:y val="5.5437100213219639E-2"/>
                </c:manualLayout>
              </c:layout>
              <c:showVal val="1"/>
            </c:dLbl>
            <c:dLbl>
              <c:idx val="5"/>
              <c:layout>
                <c:manualLayout>
                  <c:x val="-3.7267080745341616E-2"/>
                  <c:y val="4.6908315565031965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Sheet1!$J$115:$J$120</c:f>
              <c:numCache>
                <c:formatCode>0.00%</c:formatCode>
                <c:ptCount val="6"/>
                <c:pt idx="0">
                  <c:v>0.35792561912158088</c:v>
                </c:pt>
                <c:pt idx="1">
                  <c:v>0.35204798950229638</c:v>
                </c:pt>
                <c:pt idx="2">
                  <c:v>0.36426947816414385</c:v>
                </c:pt>
                <c:pt idx="3">
                  <c:v>0.33604541154210033</c:v>
                </c:pt>
                <c:pt idx="4">
                  <c:v>0.35543163981825698</c:v>
                </c:pt>
                <c:pt idx="5">
                  <c:v>0.3587306789010869</c:v>
                </c:pt>
              </c:numCache>
            </c:numRef>
          </c:val>
        </c:ser>
        <c:ser>
          <c:idx val="1"/>
          <c:order val="1"/>
          <c:tx>
            <c:strRef>
              <c:f>Sheet1!$K$114</c:f>
              <c:strCache>
                <c:ptCount val="1"/>
                <c:pt idx="0">
                  <c:v>Sixes %</c:v>
                </c:pt>
              </c:strCache>
            </c:strRef>
          </c:tx>
          <c:marker>
            <c:symbol val="diamond"/>
            <c:size val="4"/>
            <c:spPr>
              <a:solidFill>
                <a:sysClr val="windowText" lastClr="000000"/>
              </a:solidFill>
            </c:spPr>
          </c:marker>
          <c:dLbls>
            <c:dLbl>
              <c:idx val="0"/>
              <c:layout>
                <c:manualLayout>
                  <c:x val="-3.105590062111804E-2"/>
                  <c:y val="-4.2643923240938214E-2"/>
                </c:manualLayout>
              </c:layout>
              <c:showVal val="1"/>
            </c:dLbl>
            <c:dLbl>
              <c:idx val="1"/>
              <c:layout>
                <c:manualLayout>
                  <c:x val="-1.0351966873705957E-2"/>
                  <c:y val="-4.6908315565031965E-2"/>
                </c:manualLayout>
              </c:layout>
              <c:showVal val="1"/>
            </c:dLbl>
            <c:dLbl>
              <c:idx val="2"/>
              <c:layout>
                <c:manualLayout>
                  <c:x val="-4.140786749482402E-3"/>
                  <c:y val="-5.5437100213219639E-2"/>
                </c:manualLayout>
              </c:layout>
              <c:showVal val="1"/>
            </c:dLbl>
            <c:dLbl>
              <c:idx val="3"/>
              <c:layout>
                <c:manualLayout>
                  <c:x val="-2.4844720496894492E-2"/>
                  <c:y val="-6.3965884861407293E-2"/>
                </c:manualLayout>
              </c:layout>
              <c:showVal val="1"/>
            </c:dLbl>
            <c:dLbl>
              <c:idx val="4"/>
              <c:layout>
                <c:manualLayout>
                  <c:x val="-4.3478260869565147E-2"/>
                  <c:y val="-4.2643923240938124E-2"/>
                </c:manualLayout>
              </c:layout>
              <c:showVal val="1"/>
            </c:dLbl>
            <c:dLbl>
              <c:idx val="5"/>
              <c:layout>
                <c:manualLayout>
                  <c:x val="-3.5196687370600409E-2"/>
                  <c:y val="-5.1172707889125833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Sheet1!$I$115:$I$120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Sheet1!$K$115:$K$120</c:f>
              <c:numCache>
                <c:formatCode>0.00%</c:formatCode>
                <c:ptCount val="6"/>
                <c:pt idx="0">
                  <c:v>0.12762101993269476</c:v>
                </c:pt>
                <c:pt idx="1">
                  <c:v>0.10938232261692754</c:v>
                </c:pt>
                <c:pt idx="2">
                  <c:v>0.12274507907336656</c:v>
                </c:pt>
                <c:pt idx="3">
                  <c:v>0.10217596972563861</c:v>
                </c:pt>
                <c:pt idx="4">
                  <c:v>0.11276332094175963</c:v>
                </c:pt>
                <c:pt idx="5">
                  <c:v>9.4052105521874527E-2</c:v>
                </c:pt>
              </c:numCache>
            </c:numRef>
          </c:val>
        </c:ser>
        <c:marker val="1"/>
        <c:axId val="69027712"/>
        <c:axId val="69029248"/>
      </c:lineChart>
      <c:catAx>
        <c:axId val="69027712"/>
        <c:scaling>
          <c:orientation val="minMax"/>
        </c:scaling>
        <c:axPos val="b"/>
        <c:tickLblPos val="nextTo"/>
        <c:crossAx val="69029248"/>
        <c:crosses val="autoZero"/>
        <c:auto val="1"/>
        <c:lblAlgn val="ctr"/>
        <c:lblOffset val="100"/>
      </c:catAx>
      <c:valAx>
        <c:axId val="69029248"/>
        <c:scaling>
          <c:orientation val="minMax"/>
          <c:min val="5.0000000000000024E-2"/>
        </c:scaling>
        <c:axPos val="l"/>
        <c:majorGridlines/>
        <c:numFmt formatCode="0.00%" sourceLinked="1"/>
        <c:tickLblPos val="nextTo"/>
        <c:crossAx val="69027712"/>
        <c:crosses val="autoZero"/>
        <c:crossBetween val="between"/>
      </c:valAx>
      <c:spPr>
        <a:ln w="12700">
          <a:solidFill>
            <a:sysClr val="windowText" lastClr="000000"/>
          </a:solidFill>
        </a:ln>
      </c:spPr>
    </c:plotArea>
    <c:legend>
      <c:legendPos val="r"/>
      <c:layout>
        <c:manualLayout>
          <c:xMode val="edge"/>
          <c:yMode val="edge"/>
          <c:x val="0.88420289855072454"/>
          <c:y val="0.34186390880244505"/>
          <c:w val="0.10337474120082819"/>
          <c:h val="0.39729563655289357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 sz="1200"/>
            </a:pPr>
            <a:r>
              <a:rPr lang="en-NZ" sz="1200"/>
              <a:t>All</a:t>
            </a:r>
            <a:r>
              <a:rPr lang="en-NZ" sz="1200" baseline="0"/>
              <a:t> boundaries as % of total runs compared over last 10 years</a:t>
            </a:r>
            <a:endParaRPr lang="en-NZ" sz="1200"/>
          </a:p>
        </c:rich>
      </c:tx>
    </c:title>
    <c:plotArea>
      <c:layout/>
      <c:lineChart>
        <c:grouping val="standard"/>
        <c:ser>
          <c:idx val="1"/>
          <c:order val="1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none"/>
          </c:marker>
          <c:dLbls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0.48554663905427575</c:v>
                </c:pt>
                <c:pt idx="1">
                  <c:v>0.46143031211922392</c:v>
                </c:pt>
                <c:pt idx="2">
                  <c:v>0.48701455723751036</c:v>
                </c:pt>
                <c:pt idx="3">
                  <c:v>0.43822138126773891</c:v>
                </c:pt>
                <c:pt idx="4">
                  <c:v>0.4681949607600166</c:v>
                </c:pt>
                <c:pt idx="5">
                  <c:v>0.45278278442296138</c:v>
                </c:pt>
              </c:numCache>
            </c:numRef>
          </c:val>
        </c:ser>
        <c:ser>
          <c:idx val="0"/>
          <c:order val="0"/>
          <c:tx>
            <c:strRef>
              <c:f>Sheet1!$B$123</c:f>
              <c:strCache>
                <c:ptCount val="1"/>
                <c:pt idx="0">
                  <c:v>Total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cat>
            <c:strRef>
              <c:f>Sheet1!$A$124:$A$129</c:f>
              <c:strCache>
                <c:ptCount val="6"/>
                <c:pt idx="0">
                  <c:v>Auckland</c:v>
                </c:pt>
                <c:pt idx="1">
                  <c:v>Canterbury</c:v>
                </c:pt>
                <c:pt idx="2">
                  <c:v>Central</c:v>
                </c:pt>
                <c:pt idx="3">
                  <c:v>Northern</c:v>
                </c:pt>
                <c:pt idx="4">
                  <c:v>Otago</c:v>
                </c:pt>
                <c:pt idx="5">
                  <c:v>Wellington</c:v>
                </c:pt>
              </c:strCache>
            </c:strRef>
          </c:cat>
          <c:val>
            <c:numRef>
              <c:f>Sheet1!$B$124:$B$129</c:f>
              <c:numCache>
                <c:formatCode>0.00%</c:formatCode>
                <c:ptCount val="6"/>
                <c:pt idx="0">
                  <c:v>0.48554663905427575</c:v>
                </c:pt>
                <c:pt idx="1">
                  <c:v>0.46143031211922392</c:v>
                </c:pt>
                <c:pt idx="2">
                  <c:v>0.48701455723751036</c:v>
                </c:pt>
                <c:pt idx="3">
                  <c:v>0.43822138126773891</c:v>
                </c:pt>
                <c:pt idx="4">
                  <c:v>0.4681949607600166</c:v>
                </c:pt>
                <c:pt idx="5">
                  <c:v>0.45278278442296138</c:v>
                </c:pt>
              </c:numCache>
            </c:numRef>
          </c:val>
        </c:ser>
        <c:marker val="1"/>
        <c:axId val="73043328"/>
        <c:axId val="73147904"/>
      </c:lineChart>
      <c:catAx>
        <c:axId val="73043328"/>
        <c:scaling>
          <c:orientation val="minMax"/>
        </c:scaling>
        <c:axPos val="b"/>
        <c:tickLblPos val="nextTo"/>
        <c:crossAx val="73147904"/>
        <c:crosses val="autoZero"/>
        <c:auto val="1"/>
        <c:lblAlgn val="ctr"/>
        <c:lblOffset val="100"/>
      </c:catAx>
      <c:valAx>
        <c:axId val="73147904"/>
        <c:scaling>
          <c:orientation val="minMax"/>
          <c:min val="0.4"/>
        </c:scaling>
        <c:axPos val="l"/>
        <c:majorGridlines/>
        <c:numFmt formatCode="0.00%" sourceLinked="1"/>
        <c:tickLblPos val="nextTo"/>
        <c:crossAx val="73043328"/>
        <c:crosses val="autoZero"/>
        <c:crossBetween val="between"/>
        <c:majorUnit val="2.0000000000000011E-2"/>
      </c:valAx>
      <c:spPr>
        <a:ln w="12700">
          <a:solidFill>
            <a:sysClr val="windowText" lastClr="000000"/>
          </a:solidFill>
        </a:ln>
      </c:spPr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NZ"/>
  <c:chart>
    <c:title>
      <c:tx>
        <c:rich>
          <a:bodyPr/>
          <a:lstStyle/>
          <a:p>
            <a:pPr>
              <a:defRPr/>
            </a:pPr>
            <a:r>
              <a:rPr lang="en-US" sz="1200"/>
              <a:t>Runs</a:t>
            </a:r>
            <a:r>
              <a:rPr lang="en-US" sz="1200" baseline="0"/>
              <a:t> per over over last 10 years</a:t>
            </a:r>
            <a:endParaRPr lang="en-US" sz="1200"/>
          </a:p>
        </c:rich>
      </c:tx>
    </c:title>
    <c:plotArea>
      <c:layout>
        <c:manualLayout>
          <c:layoutTarget val="inner"/>
          <c:xMode val="edge"/>
          <c:yMode val="edge"/>
          <c:x val="8.7904119267276246E-2"/>
          <c:y val="0.17935034802784242"/>
          <c:w val="0.89128963886016199"/>
          <c:h val="0.73156256280029863"/>
        </c:manualLayout>
      </c:layout>
      <c:lineChart>
        <c:grouping val="standard"/>
        <c:ser>
          <c:idx val="0"/>
          <c:order val="0"/>
          <c:tx>
            <c:strRef>
              <c:f>Sheet1!$G$99</c:f>
              <c:strCache>
                <c:ptCount val="1"/>
                <c:pt idx="0">
                  <c:v>r/o</c:v>
                </c:pt>
              </c:strCache>
            </c:strRef>
          </c:tx>
          <c:marker>
            <c:symbol val="diamond"/>
            <c:size val="4"/>
            <c:spPr>
              <a:solidFill>
                <a:srgbClr val="FF0000"/>
              </a:solidFill>
            </c:spPr>
          </c:marker>
          <c:dLbls>
            <c:dLbl>
              <c:idx val="2"/>
              <c:layout>
                <c:manualLayout>
                  <c:x val="-2.6007802340702211E-3"/>
                  <c:y val="6.496519721577719E-2"/>
                </c:manualLayout>
              </c:layout>
              <c:showVal val="1"/>
            </c:dLbl>
            <c:dLbl>
              <c:idx val="6"/>
              <c:layout>
                <c:manualLayout>
                  <c:x val="-2.0806241872561901E-2"/>
                  <c:y val="-4.6403712296983764E-2"/>
                </c:manualLayout>
              </c:layout>
              <c:showVal val="1"/>
            </c:dLbl>
            <c:dLbl>
              <c:idx val="7"/>
              <c:layout>
                <c:manualLayout>
                  <c:x val="5.2015604681404422E-3"/>
                  <c:y val="5.5684454756380508E-2"/>
                </c:manualLayout>
              </c:layout>
              <c:showVal val="1"/>
            </c:dLbl>
            <c:dLbl>
              <c:idx val="8"/>
              <c:layout>
                <c:manualLayout>
                  <c:x val="-2.3407022106631991E-2"/>
                  <c:y val="-3.7122969837586998E-2"/>
                </c:manualLayout>
              </c:layout>
              <c:showVal val="1"/>
            </c:dLbl>
            <c:dLbl>
              <c:idx val="9"/>
              <c:layout>
                <c:manualLayout>
                  <c:x val="-3.9011703511053403E-2"/>
                  <c:y val="4.1763341067285381E-2"/>
                </c:manualLayout>
              </c:layout>
              <c:showVal val="1"/>
            </c:dLbl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Val val="1"/>
          </c:dLbls>
          <c:trendline>
            <c:spPr>
              <a:ln>
                <a:solidFill>
                  <a:sysClr val="windowText" lastClr="000000"/>
                </a:solidFill>
              </a:ln>
            </c:spPr>
            <c:trendlineType val="linear"/>
          </c:trendline>
          <c:cat>
            <c:strRef>
              <c:f>Sheet1!$F$100:$F$109</c:f>
              <c:strCache>
                <c:ptCount val="10"/>
                <c:pt idx="0">
                  <c:v>2008/09</c:v>
                </c:pt>
                <c:pt idx="1">
                  <c:v>2009/10</c:v>
                </c:pt>
                <c:pt idx="2">
                  <c:v>2010/11</c:v>
                </c:pt>
                <c:pt idx="3">
                  <c:v>2011/12</c:v>
                </c:pt>
                <c:pt idx="4">
                  <c:v>2012/13</c:v>
                </c:pt>
                <c:pt idx="5">
                  <c:v>2013/14</c:v>
                </c:pt>
                <c:pt idx="6">
                  <c:v>2014/15</c:v>
                </c:pt>
                <c:pt idx="7">
                  <c:v>2015/16</c:v>
                </c:pt>
                <c:pt idx="8">
                  <c:v>2016/17</c:v>
                </c:pt>
                <c:pt idx="9">
                  <c:v>2017/18</c:v>
                </c:pt>
              </c:strCache>
            </c:strRef>
          </c:cat>
          <c:val>
            <c:numRef>
              <c:f>Sheet1!$G$100:$G$109</c:f>
              <c:numCache>
                <c:formatCode>0.00</c:formatCode>
                <c:ptCount val="10"/>
                <c:pt idx="0">
                  <c:v>4.9803258901629466</c:v>
                </c:pt>
                <c:pt idx="1">
                  <c:v>5.4352751893812439</c:v>
                </c:pt>
                <c:pt idx="2">
                  <c:v>5.2581802828794588</c:v>
                </c:pt>
                <c:pt idx="3">
                  <c:v>5.2849792531120325</c:v>
                </c:pt>
                <c:pt idx="4">
                  <c:v>5.792796312211892</c:v>
                </c:pt>
                <c:pt idx="5">
                  <c:v>5.161795488022328</c:v>
                </c:pt>
                <c:pt idx="6">
                  <c:v>5.5498989898989901</c:v>
                </c:pt>
                <c:pt idx="7">
                  <c:v>5.5241028800246417</c:v>
                </c:pt>
                <c:pt idx="8">
                  <c:v>5.6153964825671094</c:v>
                </c:pt>
                <c:pt idx="9">
                  <c:v>5.544053851907254</c:v>
                </c:pt>
              </c:numCache>
            </c:numRef>
          </c:val>
        </c:ser>
        <c:marker val="1"/>
        <c:axId val="68552576"/>
        <c:axId val="68554112"/>
      </c:lineChart>
      <c:catAx>
        <c:axId val="68552576"/>
        <c:scaling>
          <c:orientation val="minMax"/>
        </c:scaling>
        <c:axPos val="b"/>
        <c:tickLblPos val="nextTo"/>
        <c:txPr>
          <a:bodyPr/>
          <a:lstStyle/>
          <a:p>
            <a:pPr>
              <a:defRPr sz="900" baseline="0"/>
            </a:pPr>
            <a:endParaRPr lang="en-US"/>
          </a:p>
        </c:txPr>
        <c:crossAx val="68554112"/>
        <c:crosses val="autoZero"/>
        <c:auto val="1"/>
        <c:lblAlgn val="ctr"/>
        <c:lblOffset val="100"/>
      </c:catAx>
      <c:valAx>
        <c:axId val="68554112"/>
        <c:scaling>
          <c:orientation val="minMax"/>
          <c:min val="4.8"/>
        </c:scaling>
        <c:axPos val="l"/>
        <c:majorGridlines/>
        <c:numFmt formatCode="0.00" sourceLinked="1"/>
        <c:tickLblPos val="nextTo"/>
        <c:txPr>
          <a:bodyPr/>
          <a:lstStyle/>
          <a:p>
            <a:pPr>
              <a:defRPr sz="900"/>
            </a:pPr>
            <a:endParaRPr lang="en-US"/>
          </a:p>
        </c:txPr>
        <c:crossAx val="68552576"/>
        <c:crosses val="autoZero"/>
        <c:crossBetween val="between"/>
      </c:valAx>
      <c:spPr>
        <a:ln w="12700">
          <a:solidFill>
            <a:schemeClr val="tx1"/>
          </a:solidFill>
        </a:ln>
      </c:spPr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</cp:revision>
  <dcterms:created xsi:type="dcterms:W3CDTF">2018-05-07T22:45:00Z</dcterms:created>
  <dcterms:modified xsi:type="dcterms:W3CDTF">2018-05-07T22:50:00Z</dcterms:modified>
</cp:coreProperties>
</file>