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F1" w:rsidRDefault="00CE00F1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E00F1">
        <w:rPr>
          <w:b/>
          <w:sz w:val="28"/>
          <w:szCs w:val="28"/>
        </w:rPr>
        <w:t xml:space="preserve">List </w:t>
      </w:r>
      <w:proofErr w:type="gramStart"/>
      <w:r w:rsidRPr="00CE00F1">
        <w:rPr>
          <w:b/>
          <w:sz w:val="28"/>
          <w:szCs w:val="28"/>
        </w:rPr>
        <w:t>A</w:t>
      </w:r>
      <w:proofErr w:type="gramEnd"/>
      <w:r w:rsidRPr="00CE00F1">
        <w:rPr>
          <w:b/>
          <w:sz w:val="28"/>
          <w:szCs w:val="28"/>
        </w:rPr>
        <w:t xml:space="preserve"> competition boundaries compared over last ten years</w:t>
      </w:r>
    </w:p>
    <w:p w:rsidR="00156248" w:rsidRDefault="00156248">
      <w:pPr>
        <w:rPr>
          <w:b/>
          <w:sz w:val="28"/>
          <w:szCs w:val="28"/>
        </w:rPr>
      </w:pPr>
      <w:r w:rsidRPr="00156248">
        <w:rPr>
          <w:b/>
          <w:noProof/>
          <w:sz w:val="28"/>
          <w:szCs w:val="28"/>
          <w:lang w:eastAsia="en-NZ"/>
        </w:rPr>
        <w:drawing>
          <wp:inline distT="0" distB="0" distL="0" distR="0">
            <wp:extent cx="7804150" cy="2596515"/>
            <wp:effectExtent l="19050" t="0" r="254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56248" w:rsidRDefault="00156248">
      <w:pPr>
        <w:rPr>
          <w:b/>
          <w:sz w:val="28"/>
          <w:szCs w:val="28"/>
        </w:rPr>
      </w:pPr>
      <w:r w:rsidRPr="00156248">
        <w:rPr>
          <w:b/>
          <w:noProof/>
          <w:sz w:val="28"/>
          <w:szCs w:val="28"/>
          <w:lang w:eastAsia="en-NZ"/>
        </w:rPr>
        <w:drawing>
          <wp:inline distT="0" distB="0" distL="0" distR="0">
            <wp:extent cx="7861300" cy="2520950"/>
            <wp:effectExtent l="19050" t="0" r="254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6248" w:rsidRDefault="00156248">
      <w:pPr>
        <w:rPr>
          <w:b/>
          <w:sz w:val="28"/>
          <w:szCs w:val="28"/>
        </w:rPr>
      </w:pPr>
      <w:r w:rsidRPr="00156248">
        <w:rPr>
          <w:b/>
          <w:noProof/>
          <w:sz w:val="28"/>
          <w:szCs w:val="28"/>
          <w:lang w:eastAsia="en-NZ"/>
        </w:rPr>
        <w:lastRenderedPageBreak/>
        <w:drawing>
          <wp:inline distT="0" distB="0" distL="0" distR="0">
            <wp:extent cx="7861300" cy="2393950"/>
            <wp:effectExtent l="19050" t="0" r="2540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6248" w:rsidRDefault="001562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Grounds compared over last 10 years</w:t>
      </w:r>
    </w:p>
    <w:p w:rsidR="00156248" w:rsidRDefault="00156248">
      <w:pPr>
        <w:rPr>
          <w:b/>
          <w:sz w:val="28"/>
          <w:szCs w:val="28"/>
        </w:rPr>
      </w:pPr>
      <w:r w:rsidRPr="00156248">
        <w:rPr>
          <w:b/>
          <w:noProof/>
          <w:sz w:val="28"/>
          <w:szCs w:val="28"/>
          <w:lang w:eastAsia="en-NZ"/>
        </w:rPr>
        <w:drawing>
          <wp:inline distT="0" distB="0" distL="0" distR="0">
            <wp:extent cx="7912100" cy="2551430"/>
            <wp:effectExtent l="19050" t="0" r="12700" b="12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6248" w:rsidRDefault="00156248">
      <w:pPr>
        <w:rPr>
          <w:b/>
          <w:sz w:val="28"/>
          <w:szCs w:val="28"/>
        </w:rPr>
      </w:pPr>
      <w:r w:rsidRPr="00156248">
        <w:rPr>
          <w:b/>
          <w:noProof/>
          <w:sz w:val="28"/>
          <w:szCs w:val="28"/>
          <w:lang w:eastAsia="en-NZ"/>
        </w:rPr>
        <w:lastRenderedPageBreak/>
        <w:drawing>
          <wp:inline distT="0" distB="0" distL="0" distR="0">
            <wp:extent cx="8070850" cy="2558415"/>
            <wp:effectExtent l="19050" t="0" r="2540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Default="00156248">
      <w:pPr>
        <w:rPr>
          <w:b/>
          <w:sz w:val="28"/>
          <w:szCs w:val="28"/>
        </w:rPr>
      </w:pPr>
    </w:p>
    <w:p w:rsidR="00156248" w:rsidRPr="00CE00F1" w:rsidRDefault="00156248">
      <w:pPr>
        <w:rPr>
          <w:b/>
          <w:sz w:val="28"/>
          <w:szCs w:val="28"/>
        </w:rPr>
      </w:pPr>
    </w:p>
    <w:p w:rsidR="00CE00F1" w:rsidRDefault="00CE00F1">
      <w:r w:rsidRPr="00CE00F1">
        <w:rPr>
          <w:noProof/>
          <w:lang w:eastAsia="en-NZ"/>
        </w:rPr>
        <w:drawing>
          <wp:inline distT="0" distB="0" distL="0" distR="0">
            <wp:extent cx="7658100" cy="2584450"/>
            <wp:effectExtent l="19050" t="0" r="190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00F1" w:rsidRDefault="00CE00F1">
      <w:r w:rsidRPr="00CE00F1">
        <w:rPr>
          <w:noProof/>
          <w:lang w:eastAsia="en-NZ"/>
        </w:rPr>
        <w:lastRenderedPageBreak/>
        <w:drawing>
          <wp:inline distT="0" distB="0" distL="0" distR="0">
            <wp:extent cx="7626350" cy="2578100"/>
            <wp:effectExtent l="1905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E00F1" w:rsidRDefault="00CE00F1">
      <w:r w:rsidRPr="00CE00F1">
        <w:rPr>
          <w:noProof/>
          <w:lang w:eastAsia="en-NZ"/>
        </w:rPr>
        <w:drawing>
          <wp:inline distT="0" distB="0" distL="0" distR="0">
            <wp:extent cx="7759700" cy="2870200"/>
            <wp:effectExtent l="19050" t="0" r="1270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CE00F1" w:rsidSect="00CE00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00F1"/>
    <w:rsid w:val="00156248"/>
    <w:rsid w:val="00A91FC0"/>
    <w:rsid w:val="00B5543D"/>
    <w:rsid w:val="00C54066"/>
    <w:rsid w:val="00C55A3D"/>
    <w:rsid w:val="00CE00F1"/>
    <w:rsid w:val="00F0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%20from%2008-09%20to%2017-18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%20from%2008-09%20to%2017-18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%20from%2008-09%20to%2017-18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%20from%2008-09%20to%2017-18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%20from%2008-09%20to%2017-18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50%20over%20comp%20runs%20-over%20from%2008-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Fours as a % of runs over last 10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0.10688379006387642"/>
          <c:y val="0.15988480606590844"/>
          <c:w val="0.83249027760870875"/>
          <c:h val="0.62598643919510122"/>
        </c:manualLayout>
      </c:layout>
      <c:lineChart>
        <c:grouping val="standard"/>
        <c:ser>
          <c:idx val="0"/>
          <c:order val="0"/>
          <c:tx>
            <c:strRef>
              <c:f>Sheet1!$J$88</c:f>
              <c:strCache>
                <c:ptCount val="1"/>
                <c:pt idx="0">
                  <c:v>Four %</c:v>
                </c:pt>
              </c:strCache>
            </c:strRef>
          </c:tx>
          <c:marker>
            <c:symbol val="diamond"/>
            <c:size val="4"/>
            <c:spPr>
              <a:solidFill>
                <a:sysClr val="windowText" lastClr="000000"/>
              </a:solidFill>
            </c:spPr>
          </c:marker>
          <c:dLbls>
            <c:dLbl>
              <c:idx val="9"/>
              <c:layout>
                <c:manualLayout>
                  <c:x val="-4.7713717693837067E-2"/>
                  <c:y val="-4.1666666666666671E-2"/>
                </c:manualLayout>
              </c:layout>
              <c:dLblPos val="r"/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Sheet1!$I$89:$I$98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Sheet1!$J$89:$J$98</c:f>
              <c:numCache>
                <c:formatCode>0.00%</c:formatCode>
                <c:ptCount val="10"/>
                <c:pt idx="0">
                  <c:v>0.35335175221753684</c:v>
                </c:pt>
                <c:pt idx="1">
                  <c:v>0.33538074446828997</c:v>
                </c:pt>
                <c:pt idx="2">
                  <c:v>0.32991857105332317</c:v>
                </c:pt>
                <c:pt idx="3">
                  <c:v>0.33653664970793307</c:v>
                </c:pt>
                <c:pt idx="4">
                  <c:v>0.37452456097758396</c:v>
                </c:pt>
                <c:pt idx="5">
                  <c:v>0.36622510588447355</c:v>
                </c:pt>
                <c:pt idx="6">
                  <c:v>0.35760046592894618</c:v>
                </c:pt>
                <c:pt idx="7">
                  <c:v>0.37303445968551358</c:v>
                </c:pt>
                <c:pt idx="8">
                  <c:v>0.35671309651364047</c:v>
                </c:pt>
                <c:pt idx="9">
                  <c:v>0.36619718309859156</c:v>
                </c:pt>
              </c:numCache>
            </c:numRef>
          </c:val>
        </c:ser>
        <c:marker val="1"/>
        <c:axId val="115047040"/>
        <c:axId val="115782016"/>
      </c:lineChart>
      <c:catAx>
        <c:axId val="11504704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15782016"/>
        <c:crosses val="autoZero"/>
        <c:auto val="1"/>
        <c:lblAlgn val="ctr"/>
        <c:lblOffset val="100"/>
      </c:catAx>
      <c:valAx>
        <c:axId val="115782016"/>
        <c:scaling>
          <c:orientation val="minMax"/>
          <c:min val="0.32000000000000045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15047040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Sixes as a % of runs</a:t>
            </a:r>
            <a:r>
              <a:rPr lang="en-NZ" sz="1200" baseline="0"/>
              <a:t> over last 10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7.4715712311109114E-2"/>
          <c:y val="0.16969198119756448"/>
          <c:w val="0.86263696844033444"/>
          <c:h val="0.73104424919177324"/>
        </c:manualLayout>
      </c:layout>
      <c:lineChart>
        <c:grouping val="standard"/>
        <c:ser>
          <c:idx val="0"/>
          <c:order val="0"/>
          <c:tx>
            <c:strRef>
              <c:f>Sheet1!$N$88</c:f>
              <c:strCache>
                <c:ptCount val="1"/>
                <c:pt idx="0">
                  <c:v>Sixes %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3"/>
              <c:layout>
                <c:manualLayout>
                  <c:x val="0"/>
                  <c:y val="5.5415617128463518E-2"/>
                </c:manualLayout>
              </c:layout>
              <c:showVal val="1"/>
            </c:dLbl>
            <c:dLbl>
              <c:idx val="4"/>
              <c:layout>
                <c:manualLayout>
                  <c:x val="-5.9171597633136145E-3"/>
                  <c:y val="-5.1162790697674418E-2"/>
                </c:manualLayout>
              </c:layout>
              <c:dLblPos val="r"/>
              <c:showVal val="1"/>
            </c:dLbl>
            <c:dLbl>
              <c:idx val="9"/>
              <c:layout>
                <c:manualLayout>
                  <c:x val="-4.3392504930966587E-2"/>
                  <c:y val="5.1162790697674418E-2"/>
                </c:manualLayout>
              </c:layout>
              <c:dLblPos val="r"/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Sheet1!$M$89:$M$98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Sheet1!$N$89:$N$98</c:f>
              <c:numCache>
                <c:formatCode>0.00%</c:formatCode>
                <c:ptCount val="10"/>
                <c:pt idx="0">
                  <c:v>8.1140031990693626E-2</c:v>
                </c:pt>
                <c:pt idx="1">
                  <c:v>0.10345593132539037</c:v>
                </c:pt>
                <c:pt idx="2">
                  <c:v>7.0396637772524348E-2</c:v>
                </c:pt>
                <c:pt idx="3">
                  <c:v>0.11192764273600911</c:v>
                </c:pt>
                <c:pt idx="4">
                  <c:v>0.12333090555960188</c:v>
                </c:pt>
                <c:pt idx="5">
                  <c:v>0.1173290078399567</c:v>
                </c:pt>
                <c:pt idx="6">
                  <c:v>0.13846825859056508</c:v>
                </c:pt>
                <c:pt idx="7">
                  <c:v>0.1249581799933088</c:v>
                </c:pt>
                <c:pt idx="8">
                  <c:v>0.14143245693563022</c:v>
                </c:pt>
                <c:pt idx="9">
                  <c:v>0.11461874696454592</c:v>
                </c:pt>
              </c:numCache>
            </c:numRef>
          </c:val>
        </c:ser>
        <c:marker val="1"/>
        <c:axId val="115865472"/>
        <c:axId val="115867008"/>
      </c:lineChart>
      <c:catAx>
        <c:axId val="11586547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15867008"/>
        <c:crosses val="autoZero"/>
        <c:auto val="1"/>
        <c:lblAlgn val="ctr"/>
        <c:lblOffset val="100"/>
      </c:catAx>
      <c:valAx>
        <c:axId val="115867008"/>
        <c:scaling>
          <c:orientation val="minMax"/>
          <c:min val="4.0000000000000022E-2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1586547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All</a:t>
            </a:r>
            <a:r>
              <a:rPr lang="en-US" sz="1200" baseline="0"/>
              <a:t> boundaries as % of total runs over last ten years</a:t>
            </a:r>
            <a:endParaRPr lang="en-US" sz="1200"/>
          </a:p>
        </c:rich>
      </c:tx>
    </c:title>
    <c:plotArea>
      <c:layout>
        <c:manualLayout>
          <c:layoutTarget val="inner"/>
          <c:xMode val="edge"/>
          <c:yMode val="edge"/>
          <c:x val="7.4276208121043796E-2"/>
          <c:y val="0.15507090791369912"/>
          <c:w val="0.86317822751962192"/>
          <c:h val="0.74496752229578767"/>
        </c:manualLayout>
      </c:layout>
      <c:lineChart>
        <c:grouping val="standard"/>
        <c:ser>
          <c:idx val="0"/>
          <c:order val="0"/>
          <c:tx>
            <c:strRef>
              <c:f>Sheet1!$P$88</c:f>
              <c:strCache>
                <c:ptCount val="1"/>
                <c:pt idx="0">
                  <c:v>Total%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5.8823529411764714E-3"/>
                  <c:y val="5.1522248243559686E-2"/>
                </c:manualLayout>
              </c:layout>
              <c:dLblPos val="r"/>
              <c:showVal val="1"/>
            </c:dLbl>
            <c:dLbl>
              <c:idx val="4"/>
              <c:layout>
                <c:manualLayout>
                  <c:x val="3.2310177705977407E-3"/>
                  <c:y val="-3.1830238726790479E-2"/>
                </c:manualLayout>
              </c:layout>
              <c:showVal val="1"/>
            </c:dLbl>
            <c:dLbl>
              <c:idx val="5"/>
              <c:layout>
                <c:manualLayout>
                  <c:x val="-2.4232633279482982E-2"/>
                  <c:y val="5.3050397877984094E-2"/>
                </c:manualLayout>
              </c:layout>
              <c:tx>
                <c:rich>
                  <a:bodyPr/>
                  <a:lstStyle/>
                  <a:p>
                    <a:r>
                      <a:rPr lang="en-US" i="1"/>
                      <a:t>48</a:t>
                    </a:r>
                    <a:r>
                      <a:rPr lang="en-US"/>
                      <a:t>.36%</a:t>
                    </a:r>
                  </a:p>
                </c:rich>
              </c:tx>
              <c:showVal val="1"/>
            </c:dLbl>
            <c:dLbl>
              <c:idx val="6"/>
              <c:layout>
                <c:manualLayout>
                  <c:x val="-7.8431372549020422E-3"/>
                  <c:y val="3.7470725995316201E-2"/>
                </c:manualLayout>
              </c:layout>
              <c:dLblPos val="r"/>
              <c:showVal val="1"/>
            </c:dLbl>
            <c:dLbl>
              <c:idx val="7"/>
              <c:layout>
                <c:manualLayout>
                  <c:x val="-7.8431372549019624E-3"/>
                  <c:y val="3.7470725995316201E-2"/>
                </c:manualLayout>
              </c:layout>
              <c:dLblPos val="r"/>
              <c:showVal val="1"/>
            </c:dLbl>
            <c:dLbl>
              <c:idx val="9"/>
              <c:layout>
                <c:manualLayout>
                  <c:x val="-3.7254901960784355E-2"/>
                  <c:y val="6.5573770491803324E-2"/>
                </c:manualLayout>
              </c:layout>
              <c:dLblPos val="r"/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Sheet1!$O$89:$O$98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Sheet1!$P$89:$P$98</c:f>
              <c:numCache>
                <c:formatCode>0.00%</c:formatCode>
                <c:ptCount val="10"/>
                <c:pt idx="0">
                  <c:v>0.43449178420823031</c:v>
                </c:pt>
                <c:pt idx="1">
                  <c:v>0.43883667579368058</c:v>
                </c:pt>
                <c:pt idx="2">
                  <c:v>0.40031520882584742</c:v>
                </c:pt>
                <c:pt idx="3">
                  <c:v>0.44846429244394198</c:v>
                </c:pt>
                <c:pt idx="4">
                  <c:v>0.4978554665371856</c:v>
                </c:pt>
                <c:pt idx="5">
                  <c:v>0.48355411372443025</c:v>
                </c:pt>
                <c:pt idx="6">
                  <c:v>0.49606872451951095</c:v>
                </c:pt>
                <c:pt idx="7">
                  <c:v>0.49799263967882251</c:v>
                </c:pt>
                <c:pt idx="8">
                  <c:v>0.49814555344927058</c:v>
                </c:pt>
                <c:pt idx="9">
                  <c:v>0.48081593006313744</c:v>
                </c:pt>
              </c:numCache>
            </c:numRef>
          </c:val>
        </c:ser>
        <c:marker val="1"/>
        <c:axId val="128326656"/>
        <c:axId val="128332544"/>
      </c:lineChart>
      <c:catAx>
        <c:axId val="128326656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28332544"/>
        <c:crosses val="autoZero"/>
        <c:auto val="1"/>
        <c:lblAlgn val="ctr"/>
        <c:lblOffset val="100"/>
      </c:catAx>
      <c:valAx>
        <c:axId val="128332544"/>
        <c:scaling>
          <c:orientation val="minMax"/>
          <c:max val="0.52"/>
          <c:min val="0.35000000000000031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2832665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Fours</a:t>
            </a:r>
            <a:r>
              <a:rPr lang="en-NZ" sz="1200" baseline="0"/>
              <a:t> &amp; sixes as % of runs at most used grounds over last 10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8923605294019381E-2"/>
          <c:y val="0.16390804597701181"/>
          <c:w val="0.81490283129502461"/>
          <c:h val="0.73796904697257815"/>
        </c:manualLayout>
      </c:layout>
      <c:barChart>
        <c:barDir val="col"/>
        <c:grouping val="clustered"/>
        <c:ser>
          <c:idx val="0"/>
          <c:order val="0"/>
          <c:tx>
            <c:strRef>
              <c:f>Sheet1!$R$116</c:f>
              <c:strCache>
                <c:ptCount val="1"/>
                <c:pt idx="0">
                  <c:v>Four %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Sheet1!$Q$117:$Q$125</c:f>
              <c:strCache>
                <c:ptCount val="9"/>
                <c:pt idx="0">
                  <c:v>Hagley</c:v>
                </c:pt>
                <c:pt idx="1">
                  <c:v>Eden Outer</c:v>
                </c:pt>
                <c:pt idx="2">
                  <c:v>Basin</c:v>
                </c:pt>
                <c:pt idx="3">
                  <c:v>Pukekura</c:v>
                </c:pt>
                <c:pt idx="4">
                  <c:v>Uni Oval</c:v>
                </c:pt>
                <c:pt idx="5">
                  <c:v>Fitzherbert</c:v>
                </c:pt>
                <c:pt idx="6">
                  <c:v>Mainpower</c:v>
                </c:pt>
                <c:pt idx="7">
                  <c:v>Seddon</c:v>
                </c:pt>
                <c:pt idx="8">
                  <c:v>Cobham</c:v>
                </c:pt>
              </c:strCache>
            </c:strRef>
          </c:cat>
          <c:val>
            <c:numRef>
              <c:f>Sheet1!$R$117:$R$125</c:f>
              <c:numCache>
                <c:formatCode>0.00%</c:formatCode>
                <c:ptCount val="9"/>
                <c:pt idx="0">
                  <c:v>0.39546803345022952</c:v>
                </c:pt>
                <c:pt idx="1">
                  <c:v>0.37793605091680577</c:v>
                </c:pt>
                <c:pt idx="2">
                  <c:v>0.36572333267365931</c:v>
                </c:pt>
                <c:pt idx="3">
                  <c:v>0.36354581673306785</c:v>
                </c:pt>
                <c:pt idx="4">
                  <c:v>0.35613238157040888</c:v>
                </c:pt>
                <c:pt idx="5">
                  <c:v>0.35124398912816235</c:v>
                </c:pt>
                <c:pt idx="6">
                  <c:v>0.35082674335010816</c:v>
                </c:pt>
                <c:pt idx="7">
                  <c:v>0.34873280231716147</c:v>
                </c:pt>
                <c:pt idx="8">
                  <c:v>0.31563734463821175</c:v>
                </c:pt>
              </c:numCache>
            </c:numRef>
          </c:val>
        </c:ser>
        <c:ser>
          <c:idx val="1"/>
          <c:order val="1"/>
          <c:tx>
            <c:strRef>
              <c:f>Sheet1!$S$116</c:f>
              <c:strCache>
                <c:ptCount val="1"/>
                <c:pt idx="0">
                  <c:v>Sixes %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2.6172300981461394E-2"/>
                  <c:y val="-9.1743119266055051E-3"/>
                </c:manualLayout>
              </c:layout>
              <c:dLblPos val="outEnd"/>
              <c:showVal val="1"/>
            </c:dLbl>
            <c:dLbl>
              <c:idx val="1"/>
              <c:layout>
                <c:manualLayout>
                  <c:x val="1.9629225736096E-2"/>
                  <c:y val="-1.8348623853210923E-2"/>
                </c:manualLayout>
              </c:layout>
              <c:dLblPos val="outEnd"/>
              <c:showVal val="1"/>
            </c:dLbl>
            <c:dLbl>
              <c:idx val="2"/>
              <c:layout>
                <c:manualLayout>
                  <c:x val="2.1276595744680847E-2"/>
                  <c:y val="0"/>
                </c:manualLayout>
              </c:layout>
              <c:dLblPos val="outEnd"/>
              <c:showVal val="1"/>
            </c:dLbl>
            <c:dLbl>
              <c:idx val="3"/>
              <c:layout>
                <c:manualLayout>
                  <c:x val="2.3404255319148935E-2"/>
                  <c:y val="-4.5977011494252873E-3"/>
                </c:manualLayout>
              </c:layout>
              <c:dLblPos val="outEnd"/>
              <c:showVal val="1"/>
            </c:dLbl>
            <c:dLbl>
              <c:idx val="4"/>
              <c:layout>
                <c:manualLayout>
                  <c:x val="2.3404255319148935E-2"/>
                  <c:y val="-9.1954022988506995E-3"/>
                </c:manualLayout>
              </c:layout>
              <c:dLblPos val="outEnd"/>
              <c:showVal val="1"/>
            </c:dLbl>
            <c:dLbl>
              <c:idx val="5"/>
              <c:layout>
                <c:manualLayout>
                  <c:x val="2.5531914893617159E-2"/>
                  <c:y val="-9.1954022988505243E-3"/>
                </c:manualLayout>
              </c:layout>
              <c:dLblPos val="outEnd"/>
              <c:showVal val="1"/>
            </c:dLbl>
            <c:dLbl>
              <c:idx val="6"/>
              <c:layout>
                <c:manualLayout>
                  <c:x val="2.7659574468085091E-2"/>
                  <c:y val="0"/>
                </c:manualLayout>
              </c:layout>
              <c:dLblPos val="outEnd"/>
              <c:showVal val="1"/>
            </c:dLbl>
            <c:dLbl>
              <c:idx val="7"/>
              <c:layout>
                <c:manualLayout>
                  <c:x val="1.2765957446808533E-2"/>
                  <c:y val="-9.1954022988506075E-3"/>
                </c:manualLayout>
              </c:layout>
              <c:dLblPos val="outEnd"/>
              <c:showVal val="1"/>
            </c:dLbl>
            <c:dLbl>
              <c:idx val="8"/>
              <c:layout>
                <c:manualLayout>
                  <c:x val="1.9148936170212766E-2"/>
                  <c:y val="-9.1954022988505243E-3"/>
                </c:manualLayout>
              </c:layout>
              <c:dLblPos val="outEnd"/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Sheet1!$Q$117:$Q$125</c:f>
              <c:strCache>
                <c:ptCount val="9"/>
                <c:pt idx="0">
                  <c:v>Hagley</c:v>
                </c:pt>
                <c:pt idx="1">
                  <c:v>Eden Outer</c:v>
                </c:pt>
                <c:pt idx="2">
                  <c:v>Basin</c:v>
                </c:pt>
                <c:pt idx="3">
                  <c:v>Pukekura</c:v>
                </c:pt>
                <c:pt idx="4">
                  <c:v>Uni Oval</c:v>
                </c:pt>
                <c:pt idx="5">
                  <c:v>Fitzherbert</c:v>
                </c:pt>
                <c:pt idx="6">
                  <c:v>Mainpower</c:v>
                </c:pt>
                <c:pt idx="7">
                  <c:v>Seddon</c:v>
                </c:pt>
                <c:pt idx="8">
                  <c:v>Cobham</c:v>
                </c:pt>
              </c:strCache>
            </c:strRef>
          </c:cat>
          <c:val>
            <c:numRef>
              <c:f>Sheet1!$S$117:$S$125</c:f>
              <c:numCache>
                <c:formatCode>0.00%</c:formatCode>
                <c:ptCount val="9"/>
                <c:pt idx="0">
                  <c:v>7.9309414620987367E-2</c:v>
                </c:pt>
                <c:pt idx="1">
                  <c:v>0.14411274435520541</c:v>
                </c:pt>
                <c:pt idx="2">
                  <c:v>9.0837126459528988E-2</c:v>
                </c:pt>
                <c:pt idx="3">
                  <c:v>0.18326693227091645</c:v>
                </c:pt>
                <c:pt idx="4">
                  <c:v>0.13393900064892936</c:v>
                </c:pt>
                <c:pt idx="5">
                  <c:v>9.9100982646874405E-2</c:v>
                </c:pt>
                <c:pt idx="6">
                  <c:v>7.6563623292595306E-2</c:v>
                </c:pt>
                <c:pt idx="7">
                  <c:v>0.13468501086169443</c:v>
                </c:pt>
                <c:pt idx="8">
                  <c:v>6.7636573851045448E-2</c:v>
                </c:pt>
              </c:numCache>
            </c:numRef>
          </c:val>
        </c:ser>
        <c:axId val="128353792"/>
        <c:axId val="128355328"/>
      </c:barChart>
      <c:catAx>
        <c:axId val="12835379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28355328"/>
        <c:crosses val="autoZero"/>
        <c:auto val="1"/>
        <c:lblAlgn val="ctr"/>
        <c:lblOffset val="100"/>
      </c:catAx>
      <c:valAx>
        <c:axId val="128355328"/>
        <c:scaling>
          <c:orientation val="minMax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2835379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0382643658904471"/>
          <c:y val="0.25609122997556333"/>
          <c:w val="9.1918244262020443E-2"/>
          <c:h val="0.31609304009412614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All</a:t>
            </a:r>
            <a:r>
              <a:rPr lang="en-US" sz="1200" baseline="0"/>
              <a:t> boundaries as % of runs at most used grounds over last 10 years</a:t>
            </a:r>
            <a:endParaRPr lang="en-US" sz="12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Sheet1!$X$116</c:f>
              <c:strCache>
                <c:ptCount val="1"/>
                <c:pt idx="0">
                  <c:v>Total%</c:v>
                </c:pt>
              </c:strCache>
            </c:strRef>
          </c:tx>
          <c:spPr>
            <a:solidFill>
              <a:srgbClr val="EEECE1">
                <a:lumMod val="50000"/>
              </a:srgbClr>
            </a:solidFill>
            <a:ln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Sheet1!$W$117:$W$125</c:f>
              <c:strCache>
                <c:ptCount val="9"/>
                <c:pt idx="0">
                  <c:v>Pukekura</c:v>
                </c:pt>
                <c:pt idx="1">
                  <c:v>Eden Outer</c:v>
                </c:pt>
                <c:pt idx="2">
                  <c:v>Uni Oval</c:v>
                </c:pt>
                <c:pt idx="3">
                  <c:v>Seddon</c:v>
                </c:pt>
                <c:pt idx="4">
                  <c:v>Hagley</c:v>
                </c:pt>
                <c:pt idx="5">
                  <c:v>Basin</c:v>
                </c:pt>
                <c:pt idx="6">
                  <c:v>Fitzherbert</c:v>
                </c:pt>
                <c:pt idx="7">
                  <c:v>Mainpower</c:v>
                </c:pt>
                <c:pt idx="8">
                  <c:v>Cobham</c:v>
                </c:pt>
              </c:strCache>
            </c:strRef>
          </c:cat>
          <c:val>
            <c:numRef>
              <c:f>Sheet1!$X$117:$X$125</c:f>
              <c:numCache>
                <c:formatCode>0.00%</c:formatCode>
                <c:ptCount val="9"/>
                <c:pt idx="0">
                  <c:v>0.54681274900398369</c:v>
                </c:pt>
                <c:pt idx="1">
                  <c:v>0.52204879527201098</c:v>
                </c:pt>
                <c:pt idx="2">
                  <c:v>0.49007138221933827</c:v>
                </c:pt>
                <c:pt idx="3">
                  <c:v>0.48341781317885629</c:v>
                </c:pt>
                <c:pt idx="4">
                  <c:v>0.47477744807121663</c:v>
                </c:pt>
                <c:pt idx="5">
                  <c:v>0.45656045913318821</c:v>
                </c:pt>
                <c:pt idx="6">
                  <c:v>0.45034497177503685</c:v>
                </c:pt>
                <c:pt idx="7">
                  <c:v>0.42739036664270336</c:v>
                </c:pt>
                <c:pt idx="8">
                  <c:v>0.3832739184892574</c:v>
                </c:pt>
              </c:numCache>
            </c:numRef>
          </c:val>
        </c:ser>
        <c:axId val="128379904"/>
        <c:axId val="128381696"/>
      </c:barChart>
      <c:catAx>
        <c:axId val="128379904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28381696"/>
        <c:crosses val="autoZero"/>
        <c:auto val="1"/>
        <c:lblAlgn val="ctr"/>
        <c:lblOffset val="100"/>
      </c:catAx>
      <c:valAx>
        <c:axId val="128381696"/>
        <c:scaling>
          <c:orientation val="minMax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28379904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Fours and</a:t>
            </a:r>
            <a:r>
              <a:rPr lang="en-NZ" sz="1200" baseline="0"/>
              <a:t> sixes b</a:t>
            </a:r>
            <a:r>
              <a:rPr lang="en-NZ" sz="1200"/>
              <a:t>oundaries</a:t>
            </a:r>
            <a:r>
              <a:rPr lang="en-NZ" sz="1200" baseline="0"/>
              <a:t> % compared over 10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9.4680882281019382E-2"/>
          <c:y val="0.15807867078289231"/>
          <c:w val="0.78772262726418496"/>
          <c:h val="0.73509105414686648"/>
        </c:manualLayout>
      </c:layout>
      <c:lineChart>
        <c:grouping val="standard"/>
        <c:ser>
          <c:idx val="0"/>
          <c:order val="0"/>
          <c:tx>
            <c:strRef>
              <c:f>Sheet1!$J$114</c:f>
              <c:strCache>
                <c:ptCount val="1"/>
                <c:pt idx="0">
                  <c:v>Fours %</c:v>
                </c:pt>
              </c:strCache>
            </c:strRef>
          </c:tx>
          <c:marker>
            <c:symbol val="diamond"/>
            <c:size val="4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-1.4492753623188411E-2"/>
                  <c:y val="6.3965884861407293E-2"/>
                </c:manualLayout>
              </c:layout>
              <c:showVal val="1"/>
            </c:dLbl>
            <c:dLbl>
              <c:idx val="1"/>
              <c:layout>
                <c:manualLayout>
                  <c:x val="-2.0703933747412001E-2"/>
                  <c:y val="4.6908315565031965E-2"/>
                </c:manualLayout>
              </c:layout>
              <c:showVal val="1"/>
            </c:dLbl>
            <c:dLbl>
              <c:idx val="2"/>
              <c:layout>
                <c:manualLayout>
                  <c:x val="-2.6915113871635629E-2"/>
                  <c:y val="5.5437100213219639E-2"/>
                </c:manualLayout>
              </c:layout>
              <c:showVal val="1"/>
            </c:dLbl>
            <c:dLbl>
              <c:idx val="3"/>
              <c:layout>
                <c:manualLayout>
                  <c:x val="-1.6563146997929688E-2"/>
                  <c:y val="3.4115138592750595E-2"/>
                </c:manualLayout>
              </c:layout>
              <c:showVal val="1"/>
            </c:dLbl>
            <c:dLbl>
              <c:idx val="4"/>
              <c:layout>
                <c:manualLayout>
                  <c:x val="-3.1055900621117998E-2"/>
                  <c:y val="5.5437100213219639E-2"/>
                </c:manualLayout>
              </c:layout>
              <c:showVal val="1"/>
            </c:dLbl>
            <c:dLbl>
              <c:idx val="5"/>
              <c:layout>
                <c:manualLayout>
                  <c:x val="-3.7267080745341616E-2"/>
                  <c:y val="4.6908315565031965E-2"/>
                </c:manualLayout>
              </c:layout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Sheet1!$J$115:$J$120</c:f>
              <c:numCache>
                <c:formatCode>0.00%</c:formatCode>
                <c:ptCount val="6"/>
                <c:pt idx="0">
                  <c:v>0.35792561912158088</c:v>
                </c:pt>
                <c:pt idx="1">
                  <c:v>0.35204798950229638</c:v>
                </c:pt>
                <c:pt idx="2">
                  <c:v>0.36426947816414396</c:v>
                </c:pt>
                <c:pt idx="3">
                  <c:v>0.33604541154210038</c:v>
                </c:pt>
                <c:pt idx="4">
                  <c:v>0.35543163981825698</c:v>
                </c:pt>
                <c:pt idx="5">
                  <c:v>0.3587306789010869</c:v>
                </c:pt>
              </c:numCache>
            </c:numRef>
          </c:val>
        </c:ser>
        <c:ser>
          <c:idx val="1"/>
          <c:order val="1"/>
          <c:tx>
            <c:strRef>
              <c:f>Sheet1!$K$114</c:f>
              <c:strCache>
                <c:ptCount val="1"/>
                <c:pt idx="0">
                  <c:v>Sixes %</c:v>
                </c:pt>
              </c:strCache>
            </c:strRef>
          </c:tx>
          <c:marker>
            <c:symbol val="diamond"/>
            <c:size val="4"/>
            <c:spPr>
              <a:solidFill>
                <a:sysClr val="windowText" lastClr="000000"/>
              </a:solidFill>
            </c:spPr>
          </c:marker>
          <c:dLbls>
            <c:dLbl>
              <c:idx val="0"/>
              <c:layout>
                <c:manualLayout>
                  <c:x val="-3.1055900621118057E-2"/>
                  <c:y val="-4.2643923240938235E-2"/>
                </c:manualLayout>
              </c:layout>
              <c:showVal val="1"/>
            </c:dLbl>
            <c:dLbl>
              <c:idx val="1"/>
              <c:layout>
                <c:manualLayout>
                  <c:x val="-1.0351966873705952E-2"/>
                  <c:y val="-4.6908315565031965E-2"/>
                </c:manualLayout>
              </c:layout>
              <c:showVal val="1"/>
            </c:dLbl>
            <c:dLbl>
              <c:idx val="2"/>
              <c:layout>
                <c:manualLayout>
                  <c:x val="-4.140786749482402E-3"/>
                  <c:y val="-5.5437100213219639E-2"/>
                </c:manualLayout>
              </c:layout>
              <c:showVal val="1"/>
            </c:dLbl>
            <c:dLbl>
              <c:idx val="3"/>
              <c:layout>
                <c:manualLayout>
                  <c:x val="-2.4844720496894492E-2"/>
                  <c:y val="-6.3965884861407293E-2"/>
                </c:manualLayout>
              </c:layout>
              <c:showVal val="1"/>
            </c:dLbl>
            <c:dLbl>
              <c:idx val="4"/>
              <c:layout>
                <c:manualLayout>
                  <c:x val="-4.3478260869565147E-2"/>
                  <c:y val="-4.2643923240938124E-2"/>
                </c:manualLayout>
              </c:layout>
              <c:showVal val="1"/>
            </c:dLbl>
            <c:dLbl>
              <c:idx val="5"/>
              <c:layout>
                <c:manualLayout>
                  <c:x val="-3.5196687370600409E-2"/>
                  <c:y val="-5.1172707889125833E-2"/>
                </c:manualLayout>
              </c:layout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Sheet1!$K$115:$K$120</c:f>
              <c:numCache>
                <c:formatCode>0.00%</c:formatCode>
                <c:ptCount val="6"/>
                <c:pt idx="0">
                  <c:v>0.1276210199326947</c:v>
                </c:pt>
                <c:pt idx="1">
                  <c:v>0.10938232261692754</c:v>
                </c:pt>
                <c:pt idx="2">
                  <c:v>0.12274507907336658</c:v>
                </c:pt>
                <c:pt idx="3">
                  <c:v>0.10217596972563862</c:v>
                </c:pt>
                <c:pt idx="4">
                  <c:v>0.11276332094175968</c:v>
                </c:pt>
                <c:pt idx="5">
                  <c:v>9.4052105521874568E-2</c:v>
                </c:pt>
              </c:numCache>
            </c:numRef>
          </c:val>
        </c:ser>
        <c:marker val="1"/>
        <c:axId val="128423424"/>
        <c:axId val="128424960"/>
      </c:lineChart>
      <c:catAx>
        <c:axId val="128423424"/>
        <c:scaling>
          <c:orientation val="minMax"/>
        </c:scaling>
        <c:axPos val="b"/>
        <c:tickLblPos val="nextTo"/>
        <c:crossAx val="128424960"/>
        <c:crosses val="autoZero"/>
        <c:auto val="1"/>
        <c:lblAlgn val="ctr"/>
        <c:lblOffset val="100"/>
      </c:catAx>
      <c:valAx>
        <c:axId val="128424960"/>
        <c:scaling>
          <c:orientation val="minMax"/>
          <c:min val="5.0000000000000024E-2"/>
        </c:scaling>
        <c:axPos val="l"/>
        <c:majorGridlines/>
        <c:numFmt formatCode="0.00%" sourceLinked="1"/>
        <c:tickLblPos val="nextTo"/>
        <c:crossAx val="12842342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8420289855072454"/>
          <c:y val="0.34186390880244527"/>
          <c:w val="0.10337474120082819"/>
          <c:h val="0.39729563655289357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All</a:t>
            </a:r>
            <a:r>
              <a:rPr lang="en-NZ" sz="1200" baseline="0"/>
              <a:t> boundaries as % of total runs compared over last 10 years</a:t>
            </a:r>
            <a:endParaRPr lang="en-NZ" sz="1200"/>
          </a:p>
        </c:rich>
      </c:tx>
    </c:title>
    <c:plotArea>
      <c:layout/>
      <c:lineChart>
        <c:grouping val="standard"/>
        <c:ser>
          <c:idx val="1"/>
          <c:order val="1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none"/>
          </c:marker>
          <c:dLbls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0.48554663905427592</c:v>
                </c:pt>
                <c:pt idx="1">
                  <c:v>0.46143031211922392</c:v>
                </c:pt>
                <c:pt idx="2">
                  <c:v>0.48701455723751047</c:v>
                </c:pt>
                <c:pt idx="3">
                  <c:v>0.43822138126773902</c:v>
                </c:pt>
                <c:pt idx="4">
                  <c:v>0.46819496076001671</c:v>
                </c:pt>
                <c:pt idx="5">
                  <c:v>0.45278278442296138</c:v>
                </c:pt>
              </c:numCache>
            </c:numRef>
          </c:val>
        </c:ser>
        <c:ser>
          <c:idx val="0"/>
          <c:order val="0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0.48554663905427592</c:v>
                </c:pt>
                <c:pt idx="1">
                  <c:v>0.46143031211922392</c:v>
                </c:pt>
                <c:pt idx="2">
                  <c:v>0.48701455723751047</c:v>
                </c:pt>
                <c:pt idx="3">
                  <c:v>0.43822138126773902</c:v>
                </c:pt>
                <c:pt idx="4">
                  <c:v>0.46819496076001671</c:v>
                </c:pt>
                <c:pt idx="5">
                  <c:v>0.45278278442296138</c:v>
                </c:pt>
              </c:numCache>
            </c:numRef>
          </c:val>
        </c:ser>
        <c:marker val="1"/>
        <c:axId val="128445824"/>
        <c:axId val="128722432"/>
      </c:lineChart>
      <c:catAx>
        <c:axId val="128445824"/>
        <c:scaling>
          <c:orientation val="minMax"/>
        </c:scaling>
        <c:axPos val="b"/>
        <c:tickLblPos val="nextTo"/>
        <c:crossAx val="128722432"/>
        <c:crosses val="autoZero"/>
        <c:auto val="1"/>
        <c:lblAlgn val="ctr"/>
        <c:lblOffset val="100"/>
      </c:catAx>
      <c:valAx>
        <c:axId val="128722432"/>
        <c:scaling>
          <c:orientation val="minMax"/>
          <c:min val="0.4"/>
        </c:scaling>
        <c:axPos val="l"/>
        <c:majorGridlines/>
        <c:numFmt formatCode="0.00%" sourceLinked="1"/>
        <c:tickLblPos val="nextTo"/>
        <c:crossAx val="128445824"/>
        <c:crosses val="autoZero"/>
        <c:crossBetween val="between"/>
        <c:majorUnit val="2.0000000000000011E-2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Runs</a:t>
            </a:r>
            <a:r>
              <a:rPr lang="en-US" sz="1200" baseline="0"/>
              <a:t> per over over last 10 years</a:t>
            </a:r>
            <a:endParaRPr lang="en-US" sz="1200"/>
          </a:p>
        </c:rich>
      </c:tx>
    </c:title>
    <c:plotArea>
      <c:layout>
        <c:manualLayout>
          <c:layoutTarget val="inner"/>
          <c:xMode val="edge"/>
          <c:yMode val="edge"/>
          <c:x val="8.7904119267276246E-2"/>
          <c:y val="0.17935034802784244"/>
          <c:w val="0.89128963886016199"/>
          <c:h val="0.7315625628002983"/>
        </c:manualLayout>
      </c:layout>
      <c:lineChart>
        <c:grouping val="standard"/>
        <c:ser>
          <c:idx val="0"/>
          <c:order val="0"/>
          <c:tx>
            <c:strRef>
              <c:f>Sheet1!$G$99</c:f>
              <c:strCache>
                <c:ptCount val="1"/>
                <c:pt idx="0">
                  <c:v>r/o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2"/>
              <c:layout>
                <c:manualLayout>
                  <c:x val="-2.6007802340702211E-3"/>
                  <c:y val="6.496519721577719E-2"/>
                </c:manualLayout>
              </c:layout>
              <c:showVal val="1"/>
            </c:dLbl>
            <c:dLbl>
              <c:idx val="6"/>
              <c:layout>
                <c:manualLayout>
                  <c:x val="-2.0806241872561911E-2"/>
                  <c:y val="-4.6403712296983764E-2"/>
                </c:manualLayout>
              </c:layout>
              <c:showVal val="1"/>
            </c:dLbl>
            <c:dLbl>
              <c:idx val="7"/>
              <c:layout>
                <c:manualLayout>
                  <c:x val="5.2015604681404422E-3"/>
                  <c:y val="5.5684454756380508E-2"/>
                </c:manualLayout>
              </c:layout>
              <c:showVal val="1"/>
            </c:dLbl>
            <c:dLbl>
              <c:idx val="8"/>
              <c:layout>
                <c:manualLayout>
                  <c:x val="-2.3407022106631991E-2"/>
                  <c:y val="-3.7122969837586998E-2"/>
                </c:manualLayout>
              </c:layout>
              <c:showVal val="1"/>
            </c:dLbl>
            <c:dLbl>
              <c:idx val="9"/>
              <c:layout>
                <c:manualLayout>
                  <c:x val="-3.9011703511053417E-2"/>
                  <c:y val="4.1763341067285381E-2"/>
                </c:manualLayout>
              </c:layout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trendline>
            <c:spPr>
              <a:ln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Sheet1!$F$100:$F$109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Sheet1!$G$100:$G$109</c:f>
              <c:numCache>
                <c:formatCode>0.00</c:formatCode>
                <c:ptCount val="10"/>
                <c:pt idx="0">
                  <c:v>4.9803258901629484</c:v>
                </c:pt>
                <c:pt idx="1">
                  <c:v>5.4352751893812465</c:v>
                </c:pt>
                <c:pt idx="2">
                  <c:v>5.258180282879457</c:v>
                </c:pt>
                <c:pt idx="3">
                  <c:v>5.2849792531120325</c:v>
                </c:pt>
                <c:pt idx="4">
                  <c:v>5.792796312211892</c:v>
                </c:pt>
                <c:pt idx="5">
                  <c:v>5.1617954880223298</c:v>
                </c:pt>
                <c:pt idx="6">
                  <c:v>5.5498989898989901</c:v>
                </c:pt>
                <c:pt idx="7">
                  <c:v>5.5241028800246417</c:v>
                </c:pt>
                <c:pt idx="8">
                  <c:v>5.6153964825671094</c:v>
                </c:pt>
                <c:pt idx="9">
                  <c:v>5.5440538519072513</c:v>
                </c:pt>
              </c:numCache>
            </c:numRef>
          </c:val>
        </c:ser>
        <c:marker val="1"/>
        <c:axId val="128763776"/>
        <c:axId val="128765312"/>
      </c:lineChart>
      <c:catAx>
        <c:axId val="128763776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28765312"/>
        <c:crosses val="autoZero"/>
        <c:auto val="1"/>
        <c:lblAlgn val="ctr"/>
        <c:lblOffset val="100"/>
      </c:catAx>
      <c:valAx>
        <c:axId val="128765312"/>
        <c:scaling>
          <c:orientation val="minMax"/>
          <c:min val="4.8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28763776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2018-05-07T23:04:00Z</dcterms:created>
  <dcterms:modified xsi:type="dcterms:W3CDTF">2018-05-07T23:47:00Z</dcterms:modified>
</cp:coreProperties>
</file>