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Pr="00A11153" w:rsidRDefault="00A11153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A11153">
        <w:rPr>
          <w:b/>
          <w:sz w:val="28"/>
          <w:szCs w:val="28"/>
        </w:rPr>
        <w:t>Premier Two day Cricket</w:t>
      </w:r>
    </w:p>
    <w:p w:rsidR="00A11153" w:rsidRDefault="00A11153">
      <w:r w:rsidRPr="00A11153">
        <w:rPr>
          <w:noProof/>
          <w:lang w:eastAsia="en-NZ"/>
        </w:rPr>
        <w:drawing>
          <wp:inline distT="0" distB="0" distL="0" distR="0">
            <wp:extent cx="4324350" cy="24574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11153" w:rsidRDefault="00A11153">
      <w:r>
        <w:t xml:space="preserve">    The last four years show that around 25% of innings are over 200 runs.</w:t>
      </w:r>
    </w:p>
    <w:p w:rsidR="00A11153" w:rsidRDefault="00A11153"/>
    <w:p w:rsidR="00A11153" w:rsidRDefault="00A11153">
      <w:r w:rsidRPr="00A11153">
        <w:rPr>
          <w:noProof/>
          <w:lang w:eastAsia="en-NZ"/>
        </w:rPr>
        <w:drawing>
          <wp:inline distT="0" distB="0" distL="0" distR="0">
            <wp:extent cx="4324350" cy="240982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11153" w:rsidRDefault="00A11153">
      <w:r>
        <w:t xml:space="preserve">          </w:t>
      </w:r>
      <w:proofErr w:type="gramStart"/>
      <w:r>
        <w:t>A rapid increase in scores under 100 over the past three years.</w:t>
      </w:r>
      <w:proofErr w:type="gramEnd"/>
    </w:p>
    <w:p w:rsidR="00A11153" w:rsidRDefault="00A11153"/>
    <w:p w:rsidR="00A11153" w:rsidRDefault="00A11153">
      <w:r w:rsidRPr="00A11153">
        <w:rPr>
          <w:noProof/>
          <w:lang w:eastAsia="en-NZ"/>
        </w:rPr>
        <w:drawing>
          <wp:inline distT="0" distB="0" distL="0" distR="0">
            <wp:extent cx="4429125" cy="2552700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1153" w:rsidRDefault="009F0DB3" w:rsidP="00A11153">
      <w:pPr>
        <w:ind w:firstLine="720"/>
      </w:pPr>
      <w:r>
        <w:t xml:space="preserve">    A wider</w:t>
      </w:r>
      <w:r w:rsidR="00A11153">
        <w:t xml:space="preserve"> gap between the two lines is desirable</w:t>
      </w:r>
    </w:p>
    <w:p w:rsidR="00A11153" w:rsidRDefault="00A11153"/>
    <w:p w:rsidR="00A11153" w:rsidRDefault="00A11153">
      <w:r w:rsidRPr="00A11153">
        <w:rPr>
          <w:noProof/>
          <w:lang w:eastAsia="en-NZ"/>
        </w:rPr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1153" w:rsidRDefault="00A11153">
      <w:r>
        <w:t xml:space="preserve">            Almost 80% of matches this year had an outright decision</w:t>
      </w:r>
    </w:p>
    <w:p w:rsidR="00A11153" w:rsidRDefault="00A11153"/>
    <w:p w:rsidR="00A11153" w:rsidRDefault="00A11153"/>
    <w:p w:rsidR="00A11153" w:rsidRDefault="00A11153"/>
    <w:p w:rsidR="00A11153" w:rsidRDefault="00A11153">
      <w:r w:rsidRPr="00A11153">
        <w:rPr>
          <w:noProof/>
          <w:lang w:eastAsia="en-NZ"/>
        </w:rPr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1153" w:rsidRDefault="00A11153">
      <w:r>
        <w:t xml:space="preserve">      </w:t>
      </w:r>
      <w:proofErr w:type="gramStart"/>
      <w:r>
        <w:t>Somewhat of an anomaly due to the change in playing conditions.</w:t>
      </w:r>
      <w:proofErr w:type="gramEnd"/>
    </w:p>
    <w:p w:rsidR="00A11153" w:rsidRDefault="00A11153"/>
    <w:p w:rsidR="00A11153" w:rsidRDefault="00A11153">
      <w:pPr>
        <w:rPr>
          <w:b/>
        </w:rPr>
      </w:pPr>
      <w:r w:rsidRPr="008F62B8">
        <w:rPr>
          <w:b/>
        </w:rPr>
        <w:t>Centuries scored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2006/07</w:t>
      </w:r>
      <w:r w:rsidRPr="008F62B8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</w:t>
      </w:r>
      <w:r w:rsidRPr="008F62B8">
        <w:rPr>
          <w:sz w:val="20"/>
          <w:szCs w:val="20"/>
        </w:rPr>
        <w:t xml:space="preserve">5  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2007/08</w:t>
      </w:r>
      <w:r w:rsidRPr="008F62B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2B8">
        <w:rPr>
          <w:sz w:val="20"/>
          <w:szCs w:val="20"/>
        </w:rPr>
        <w:t>13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2008/09</w:t>
      </w:r>
      <w:r w:rsidRPr="008F62B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2B8">
        <w:rPr>
          <w:sz w:val="20"/>
          <w:szCs w:val="20"/>
        </w:rPr>
        <w:t>12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2009/10</w:t>
      </w:r>
      <w:r w:rsidRPr="008F62B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F62B8">
        <w:rPr>
          <w:sz w:val="20"/>
          <w:szCs w:val="20"/>
        </w:rPr>
        <w:t>14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2010/11</w:t>
      </w:r>
      <w:r w:rsidRPr="008F62B8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</w:t>
      </w:r>
      <w:r w:rsidRPr="008F62B8">
        <w:rPr>
          <w:sz w:val="20"/>
          <w:szCs w:val="20"/>
        </w:rPr>
        <w:t>7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2011/12</w:t>
      </w:r>
      <w:r w:rsidRPr="008F62B8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8F62B8">
        <w:rPr>
          <w:sz w:val="20"/>
          <w:szCs w:val="20"/>
        </w:rPr>
        <w:t>13</w:t>
      </w:r>
    </w:p>
    <w:p w:rsidR="008F62B8" w:rsidRPr="008F62B8" w:rsidRDefault="008F62B8">
      <w:pPr>
        <w:rPr>
          <w:sz w:val="20"/>
          <w:szCs w:val="20"/>
        </w:rPr>
      </w:pPr>
      <w:r w:rsidRPr="008F62B8">
        <w:rPr>
          <w:sz w:val="20"/>
          <w:szCs w:val="20"/>
        </w:rPr>
        <w:t>2012/13</w:t>
      </w:r>
      <w:r w:rsidRPr="008F62B8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</w:t>
      </w:r>
      <w:r w:rsidRPr="008F62B8">
        <w:rPr>
          <w:sz w:val="20"/>
          <w:szCs w:val="20"/>
        </w:rPr>
        <w:t>9</w:t>
      </w:r>
    </w:p>
    <w:sectPr w:rsidR="008F62B8" w:rsidRPr="008F62B8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11153"/>
    <w:rsid w:val="001A7CC8"/>
    <w:rsid w:val="00374C03"/>
    <w:rsid w:val="00563839"/>
    <w:rsid w:val="0058186C"/>
    <w:rsid w:val="006C35A4"/>
    <w:rsid w:val="00705FF9"/>
    <w:rsid w:val="008F62B8"/>
    <w:rsid w:val="009F0DB3"/>
    <w:rsid w:val="00A11153"/>
    <w:rsid w:val="00A8773F"/>
    <w:rsid w:val="00BB1D46"/>
    <w:rsid w:val="00E1155C"/>
    <w:rsid w:val="00FC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two%20day%20club%2012-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Scores over 200 as % of innings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[Book2]Sheet1!$K$2:$K$29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[Book2]Sheet1!$L$2:$L$29</c:f>
              <c:numCache>
                <c:formatCode>0.00</c:formatCode>
                <c:ptCount val="28"/>
                <c:pt idx="0">
                  <c:v>25</c:v>
                </c:pt>
                <c:pt idx="1">
                  <c:v>21.18</c:v>
                </c:pt>
                <c:pt idx="2">
                  <c:v>30.68</c:v>
                </c:pt>
                <c:pt idx="3">
                  <c:v>38.64</c:v>
                </c:pt>
                <c:pt idx="4">
                  <c:v>41.18</c:v>
                </c:pt>
                <c:pt idx="5">
                  <c:v>39.660000000000011</c:v>
                </c:pt>
                <c:pt idx="6">
                  <c:v>38.99</c:v>
                </c:pt>
                <c:pt idx="7">
                  <c:v>25.14</c:v>
                </c:pt>
                <c:pt idx="8">
                  <c:v>21.66</c:v>
                </c:pt>
                <c:pt idx="9">
                  <c:v>24.72</c:v>
                </c:pt>
                <c:pt idx="10">
                  <c:v>26.419999999999987</c:v>
                </c:pt>
                <c:pt idx="11">
                  <c:v>22.06</c:v>
                </c:pt>
                <c:pt idx="12">
                  <c:v>23.56</c:v>
                </c:pt>
                <c:pt idx="13">
                  <c:v>15.5</c:v>
                </c:pt>
                <c:pt idx="14">
                  <c:v>26.6</c:v>
                </c:pt>
                <c:pt idx="15">
                  <c:v>33.050000000000004</c:v>
                </c:pt>
                <c:pt idx="16">
                  <c:v>17.559999999999999</c:v>
                </c:pt>
                <c:pt idx="17">
                  <c:v>21.74</c:v>
                </c:pt>
                <c:pt idx="18">
                  <c:v>24.630000000000017</c:v>
                </c:pt>
                <c:pt idx="19">
                  <c:v>43.690000000000012</c:v>
                </c:pt>
                <c:pt idx="20">
                  <c:v>32.32</c:v>
                </c:pt>
                <c:pt idx="21">
                  <c:v>20.14</c:v>
                </c:pt>
                <c:pt idx="22">
                  <c:v>31.147540983606557</c:v>
                </c:pt>
                <c:pt idx="23">
                  <c:v>32.97</c:v>
                </c:pt>
                <c:pt idx="24">
                  <c:v>30.110000000000017</c:v>
                </c:pt>
                <c:pt idx="25" formatCode="General">
                  <c:v>29.09</c:v>
                </c:pt>
                <c:pt idx="26">
                  <c:v>29.21</c:v>
                </c:pt>
                <c:pt idx="27">
                  <c:v>28.18</c:v>
                </c:pt>
              </c:numCache>
            </c:numRef>
          </c:val>
        </c:ser>
        <c:marker val="1"/>
        <c:axId val="105796736"/>
        <c:axId val="105798656"/>
      </c:lineChart>
      <c:catAx>
        <c:axId val="105796736"/>
        <c:scaling>
          <c:orientation val="minMax"/>
        </c:scaling>
        <c:axPos val="b"/>
        <c:tickLblPos val="nextTo"/>
        <c:crossAx val="105798656"/>
        <c:crosses val="autoZero"/>
        <c:auto val="1"/>
        <c:lblAlgn val="ctr"/>
        <c:lblOffset val="100"/>
        <c:tickLblSkip val="3"/>
        <c:tickMarkSkip val="3"/>
      </c:catAx>
      <c:valAx>
        <c:axId val="105798656"/>
        <c:scaling>
          <c:orientation val="minMax"/>
        </c:scaling>
        <c:axPos val="l"/>
        <c:majorGridlines/>
        <c:numFmt formatCode="0.00" sourceLinked="1"/>
        <c:tickLblPos val="nextTo"/>
        <c:crossAx val="105796736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Scores under 100 as % of innings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[Book2]Sheet1!$C$2:$C$29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[Book2]Sheet1!$M$2:$M$29</c:f>
              <c:numCache>
                <c:formatCode>0.00</c:formatCode>
                <c:ptCount val="28"/>
                <c:pt idx="0">
                  <c:v>4.49</c:v>
                </c:pt>
                <c:pt idx="1">
                  <c:v>3.53</c:v>
                </c:pt>
                <c:pt idx="2">
                  <c:v>3.98</c:v>
                </c:pt>
                <c:pt idx="3">
                  <c:v>1.1399999999999988</c:v>
                </c:pt>
                <c:pt idx="4">
                  <c:v>3.27</c:v>
                </c:pt>
                <c:pt idx="5">
                  <c:v>1.1200000000000001</c:v>
                </c:pt>
                <c:pt idx="6">
                  <c:v>4.4000000000000004</c:v>
                </c:pt>
                <c:pt idx="7">
                  <c:v>5.71</c:v>
                </c:pt>
                <c:pt idx="8">
                  <c:v>2.5499999999999998</c:v>
                </c:pt>
                <c:pt idx="9">
                  <c:v>6.74</c:v>
                </c:pt>
                <c:pt idx="10">
                  <c:v>5.03</c:v>
                </c:pt>
                <c:pt idx="11">
                  <c:v>9.56</c:v>
                </c:pt>
                <c:pt idx="12">
                  <c:v>9.2000000000000011</c:v>
                </c:pt>
                <c:pt idx="13">
                  <c:v>8.5300000000000011</c:v>
                </c:pt>
                <c:pt idx="14">
                  <c:v>15.96</c:v>
                </c:pt>
                <c:pt idx="15">
                  <c:v>5.08</c:v>
                </c:pt>
                <c:pt idx="16">
                  <c:v>9.92</c:v>
                </c:pt>
                <c:pt idx="17">
                  <c:v>12.17</c:v>
                </c:pt>
                <c:pt idx="18">
                  <c:v>3.73</c:v>
                </c:pt>
                <c:pt idx="19">
                  <c:v>5.1499999999999995</c:v>
                </c:pt>
                <c:pt idx="20">
                  <c:v>10.1</c:v>
                </c:pt>
                <c:pt idx="21">
                  <c:v>7.1899999999999995</c:v>
                </c:pt>
                <c:pt idx="22">
                  <c:v>4.918032786885246</c:v>
                </c:pt>
                <c:pt idx="23">
                  <c:v>5.49</c:v>
                </c:pt>
                <c:pt idx="24">
                  <c:v>1.08</c:v>
                </c:pt>
                <c:pt idx="25">
                  <c:v>7.2700000000000014</c:v>
                </c:pt>
                <c:pt idx="26">
                  <c:v>14.61</c:v>
                </c:pt>
                <c:pt idx="27">
                  <c:v>12.729999999999999</c:v>
                </c:pt>
              </c:numCache>
            </c:numRef>
          </c:val>
        </c:ser>
        <c:marker val="1"/>
        <c:axId val="105813888"/>
        <c:axId val="105832448"/>
      </c:lineChart>
      <c:catAx>
        <c:axId val="105813888"/>
        <c:scaling>
          <c:orientation val="minMax"/>
        </c:scaling>
        <c:axPos val="b"/>
        <c:tickLblPos val="nextTo"/>
        <c:crossAx val="105832448"/>
        <c:crosses val="autoZero"/>
        <c:auto val="1"/>
        <c:lblAlgn val="ctr"/>
        <c:lblOffset val="100"/>
        <c:tickLblSkip val="3"/>
        <c:tickMarkSkip val="3"/>
      </c:catAx>
      <c:valAx>
        <c:axId val="105832448"/>
        <c:scaling>
          <c:orientation val="minMax"/>
        </c:scaling>
        <c:axPos val="l"/>
        <c:majorGridlines/>
        <c:numFmt formatCode="0.00" sourceLinked="1"/>
        <c:tickLblPos val="nextTo"/>
        <c:crossAx val="105813888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Scores over 200 &amp; under 100</a:t>
            </a:r>
          </a:p>
        </c:rich>
      </c:tx>
      <c:layout/>
    </c:title>
    <c:plotArea>
      <c:layout>
        <c:manualLayout>
          <c:layoutTarget val="inner"/>
          <c:xMode val="edge"/>
          <c:yMode val="edge"/>
          <c:x val="0.10716885389326336"/>
          <c:y val="0.17940981335666403"/>
          <c:w val="0.70434492563429574"/>
          <c:h val="0.64935586176727922"/>
        </c:manualLayout>
      </c:layout>
      <c:lineChart>
        <c:grouping val="standard"/>
        <c:ser>
          <c:idx val="0"/>
          <c:order val="0"/>
          <c:tx>
            <c:strRef>
              <c:f>[Book2]Sheet1!$L$1</c:f>
              <c:strCache>
                <c:ptCount val="1"/>
                <c:pt idx="0">
                  <c:v>Over 200</c:v>
                </c:pt>
              </c:strCache>
            </c:strRef>
          </c:tx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[Book2]Sheet1!$K$2:$K$29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[Book2]Sheet1!$L$2:$L$29</c:f>
              <c:numCache>
                <c:formatCode>0.00</c:formatCode>
                <c:ptCount val="28"/>
                <c:pt idx="0">
                  <c:v>25</c:v>
                </c:pt>
                <c:pt idx="1">
                  <c:v>21.18</c:v>
                </c:pt>
                <c:pt idx="2">
                  <c:v>30.68</c:v>
                </c:pt>
                <c:pt idx="3">
                  <c:v>38.64</c:v>
                </c:pt>
                <c:pt idx="4">
                  <c:v>41.18</c:v>
                </c:pt>
                <c:pt idx="5">
                  <c:v>39.660000000000011</c:v>
                </c:pt>
                <c:pt idx="6">
                  <c:v>38.99</c:v>
                </c:pt>
                <c:pt idx="7">
                  <c:v>25.14</c:v>
                </c:pt>
                <c:pt idx="8">
                  <c:v>21.66</c:v>
                </c:pt>
                <c:pt idx="9">
                  <c:v>24.72</c:v>
                </c:pt>
                <c:pt idx="10">
                  <c:v>26.419999999999987</c:v>
                </c:pt>
                <c:pt idx="11">
                  <c:v>22.06</c:v>
                </c:pt>
                <c:pt idx="12">
                  <c:v>23.56</c:v>
                </c:pt>
                <c:pt idx="13">
                  <c:v>15.5</c:v>
                </c:pt>
                <c:pt idx="14">
                  <c:v>26.6</c:v>
                </c:pt>
                <c:pt idx="15">
                  <c:v>33.050000000000004</c:v>
                </c:pt>
                <c:pt idx="16">
                  <c:v>17.559999999999999</c:v>
                </c:pt>
                <c:pt idx="17">
                  <c:v>21.74</c:v>
                </c:pt>
                <c:pt idx="18">
                  <c:v>24.630000000000017</c:v>
                </c:pt>
                <c:pt idx="19">
                  <c:v>43.690000000000012</c:v>
                </c:pt>
                <c:pt idx="20">
                  <c:v>32.32</c:v>
                </c:pt>
                <c:pt idx="21">
                  <c:v>20.14</c:v>
                </c:pt>
                <c:pt idx="22">
                  <c:v>31.147540983606557</c:v>
                </c:pt>
                <c:pt idx="23">
                  <c:v>32.97</c:v>
                </c:pt>
                <c:pt idx="24">
                  <c:v>30.110000000000017</c:v>
                </c:pt>
                <c:pt idx="25" formatCode="General">
                  <c:v>29.09</c:v>
                </c:pt>
                <c:pt idx="26">
                  <c:v>29.21</c:v>
                </c:pt>
                <c:pt idx="27">
                  <c:v>28.18</c:v>
                </c:pt>
              </c:numCache>
            </c:numRef>
          </c:val>
        </c:ser>
        <c:ser>
          <c:idx val="1"/>
          <c:order val="1"/>
          <c:tx>
            <c:strRef>
              <c:f>[Book2]Sheet1!$M$1</c:f>
              <c:strCache>
                <c:ptCount val="1"/>
                <c:pt idx="0">
                  <c:v>Under 100</c:v>
                </c:pt>
              </c:strCache>
            </c:strRef>
          </c:tx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[Book2]Sheet1!$K$2:$K$29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[Book2]Sheet1!$M$2:$M$29</c:f>
              <c:numCache>
                <c:formatCode>0.00</c:formatCode>
                <c:ptCount val="28"/>
                <c:pt idx="0">
                  <c:v>4.49</c:v>
                </c:pt>
                <c:pt idx="1">
                  <c:v>3.53</c:v>
                </c:pt>
                <c:pt idx="2">
                  <c:v>3.98</c:v>
                </c:pt>
                <c:pt idx="3">
                  <c:v>1.1399999999999988</c:v>
                </c:pt>
                <c:pt idx="4">
                  <c:v>3.27</c:v>
                </c:pt>
                <c:pt idx="5">
                  <c:v>1.1200000000000001</c:v>
                </c:pt>
                <c:pt idx="6">
                  <c:v>4.4000000000000004</c:v>
                </c:pt>
                <c:pt idx="7">
                  <c:v>5.71</c:v>
                </c:pt>
                <c:pt idx="8">
                  <c:v>2.5499999999999998</c:v>
                </c:pt>
                <c:pt idx="9">
                  <c:v>6.74</c:v>
                </c:pt>
                <c:pt idx="10">
                  <c:v>5.03</c:v>
                </c:pt>
                <c:pt idx="11">
                  <c:v>9.56</c:v>
                </c:pt>
                <c:pt idx="12">
                  <c:v>9.2000000000000011</c:v>
                </c:pt>
                <c:pt idx="13">
                  <c:v>8.5300000000000011</c:v>
                </c:pt>
                <c:pt idx="14">
                  <c:v>15.96</c:v>
                </c:pt>
                <c:pt idx="15">
                  <c:v>5.08</c:v>
                </c:pt>
                <c:pt idx="16">
                  <c:v>9.92</c:v>
                </c:pt>
                <c:pt idx="17">
                  <c:v>12.17</c:v>
                </c:pt>
                <c:pt idx="18">
                  <c:v>3.73</c:v>
                </c:pt>
                <c:pt idx="19">
                  <c:v>5.1499999999999995</c:v>
                </c:pt>
                <c:pt idx="20">
                  <c:v>10.1</c:v>
                </c:pt>
                <c:pt idx="21">
                  <c:v>7.1899999999999995</c:v>
                </c:pt>
                <c:pt idx="22">
                  <c:v>4.918032786885246</c:v>
                </c:pt>
                <c:pt idx="23">
                  <c:v>5.49</c:v>
                </c:pt>
                <c:pt idx="24">
                  <c:v>1.08</c:v>
                </c:pt>
                <c:pt idx="25">
                  <c:v>7.2700000000000014</c:v>
                </c:pt>
                <c:pt idx="26">
                  <c:v>14.61</c:v>
                </c:pt>
                <c:pt idx="27">
                  <c:v>12.729999999999999</c:v>
                </c:pt>
              </c:numCache>
            </c:numRef>
          </c:val>
        </c:ser>
        <c:marker val="1"/>
        <c:axId val="107307008"/>
        <c:axId val="107308928"/>
      </c:lineChart>
      <c:catAx>
        <c:axId val="107307008"/>
        <c:scaling>
          <c:orientation val="minMax"/>
        </c:scaling>
        <c:axPos val="b"/>
        <c:tickLblPos val="nextTo"/>
        <c:crossAx val="107308928"/>
        <c:crosses val="autoZero"/>
        <c:auto val="1"/>
        <c:lblAlgn val="ctr"/>
        <c:lblOffset val="100"/>
        <c:tickLblSkip val="3"/>
        <c:tickMarkSkip val="3"/>
      </c:catAx>
      <c:valAx>
        <c:axId val="107308928"/>
        <c:scaling>
          <c:orientation val="minMax"/>
        </c:scaling>
        <c:axPos val="l"/>
        <c:majorGridlines/>
        <c:numFmt formatCode="0.00" sourceLinked="1"/>
        <c:tickLblPos val="nextTo"/>
        <c:crossAx val="1073070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984711286089418"/>
          <c:y val="0.47102799650043742"/>
          <c:w val="0.16348622047244138"/>
          <c:h val="0.2091010498687664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Results</a:t>
            </a:r>
            <a:r>
              <a:rPr lang="en-NZ" sz="1200" baseline="0"/>
              <a:t> as % of matches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[Book2]Sheet1!$E$2:$E$29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[Book2]Sheet1!$F$2:$F$29</c:f>
              <c:numCache>
                <c:formatCode>0.00</c:formatCode>
                <c:ptCount val="28"/>
                <c:pt idx="0">
                  <c:v>52.5</c:v>
                </c:pt>
                <c:pt idx="1">
                  <c:v>42.220000000000013</c:v>
                </c:pt>
                <c:pt idx="2">
                  <c:v>64.440000000000026</c:v>
                </c:pt>
                <c:pt idx="3">
                  <c:v>57.78</c:v>
                </c:pt>
                <c:pt idx="4">
                  <c:v>57.5</c:v>
                </c:pt>
                <c:pt idx="5">
                  <c:v>55.56</c:v>
                </c:pt>
                <c:pt idx="6">
                  <c:v>67.5</c:v>
                </c:pt>
                <c:pt idx="7">
                  <c:v>66.669999999999987</c:v>
                </c:pt>
                <c:pt idx="8">
                  <c:v>75</c:v>
                </c:pt>
                <c:pt idx="9">
                  <c:v>71.11</c:v>
                </c:pt>
                <c:pt idx="10">
                  <c:v>57.5</c:v>
                </c:pt>
                <c:pt idx="11">
                  <c:v>68.569999999999993</c:v>
                </c:pt>
                <c:pt idx="12">
                  <c:v>68.179999999999978</c:v>
                </c:pt>
                <c:pt idx="13">
                  <c:v>61.11</c:v>
                </c:pt>
                <c:pt idx="14">
                  <c:v>37.14</c:v>
                </c:pt>
                <c:pt idx="15">
                  <c:v>53.13</c:v>
                </c:pt>
                <c:pt idx="16">
                  <c:v>75</c:v>
                </c:pt>
                <c:pt idx="17">
                  <c:v>71.88</c:v>
                </c:pt>
                <c:pt idx="18">
                  <c:v>55.56</c:v>
                </c:pt>
                <c:pt idx="19">
                  <c:v>43.33</c:v>
                </c:pt>
                <c:pt idx="20">
                  <c:v>60</c:v>
                </c:pt>
                <c:pt idx="21">
                  <c:v>52.5</c:v>
                </c:pt>
                <c:pt idx="22">
                  <c:v>42.5</c:v>
                </c:pt>
                <c:pt idx="23">
                  <c:v>53.849999999999994</c:v>
                </c:pt>
                <c:pt idx="24">
                  <c:v>60.71</c:v>
                </c:pt>
                <c:pt idx="25">
                  <c:v>50</c:v>
                </c:pt>
                <c:pt idx="26">
                  <c:v>60.71</c:v>
                </c:pt>
                <c:pt idx="27" formatCode="General">
                  <c:v>78.569999999999993</c:v>
                </c:pt>
              </c:numCache>
            </c:numRef>
          </c:val>
        </c:ser>
        <c:marker val="1"/>
        <c:axId val="107320064"/>
        <c:axId val="107321984"/>
      </c:lineChart>
      <c:catAx>
        <c:axId val="107320064"/>
        <c:scaling>
          <c:orientation val="minMax"/>
        </c:scaling>
        <c:axPos val="b"/>
        <c:tickLblPos val="nextTo"/>
        <c:crossAx val="107321984"/>
        <c:crosses val="autoZero"/>
        <c:auto val="1"/>
        <c:lblAlgn val="ctr"/>
        <c:lblOffset val="100"/>
        <c:tickLblSkip val="3"/>
        <c:tickMarkSkip val="3"/>
      </c:catAx>
      <c:valAx>
        <c:axId val="107321984"/>
        <c:scaling>
          <c:orientation val="minMax"/>
        </c:scaling>
        <c:axPos val="l"/>
        <c:majorGridlines/>
        <c:numFmt formatCode="0.00" sourceLinked="1"/>
        <c:tickLblPos val="nextTo"/>
        <c:crossAx val="107320064"/>
        <c:crosses val="autoZero"/>
        <c:crossBetween val="midCat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US" sz="1200"/>
              <a:t>Declarations as % of innings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[Book2]Sheet1!$H$1</c:f>
              <c:strCache>
                <c:ptCount val="1"/>
                <c:pt idx="0">
                  <c:v>Declarations</c:v>
                </c:pt>
              </c:strCache>
            </c:strRef>
          </c:tx>
          <c:marker>
            <c:symbol val="square"/>
            <c:size val="3"/>
            <c:spPr>
              <a:solidFill>
                <a:sysClr val="windowText" lastClr="000000"/>
              </a:solidFill>
            </c:spPr>
          </c:marker>
          <c:cat>
            <c:strRef>
              <c:f>[Book2]Sheet1!$G$2:$G$29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[Book2]Sheet1!$H$2:$H$29</c:f>
              <c:numCache>
                <c:formatCode>0.00</c:formatCode>
                <c:ptCount val="28"/>
                <c:pt idx="0">
                  <c:v>40.379999999999995</c:v>
                </c:pt>
                <c:pt idx="1">
                  <c:v>50.59</c:v>
                </c:pt>
                <c:pt idx="2">
                  <c:v>37.5</c:v>
                </c:pt>
                <c:pt idx="3">
                  <c:v>44.89</c:v>
                </c:pt>
                <c:pt idx="4">
                  <c:v>37.25</c:v>
                </c:pt>
                <c:pt idx="5">
                  <c:v>41.339999999999996</c:v>
                </c:pt>
                <c:pt idx="6">
                  <c:v>45.28</c:v>
                </c:pt>
                <c:pt idx="7">
                  <c:v>37.71</c:v>
                </c:pt>
                <c:pt idx="8">
                  <c:v>41.4</c:v>
                </c:pt>
                <c:pt idx="9">
                  <c:v>40.449999999999996</c:v>
                </c:pt>
                <c:pt idx="10">
                  <c:v>40.25</c:v>
                </c:pt>
                <c:pt idx="11">
                  <c:v>38.97</c:v>
                </c:pt>
                <c:pt idx="12">
                  <c:v>30.459999999999987</c:v>
                </c:pt>
                <c:pt idx="13">
                  <c:v>30.23</c:v>
                </c:pt>
                <c:pt idx="14">
                  <c:v>20.21</c:v>
                </c:pt>
                <c:pt idx="15">
                  <c:v>27.97</c:v>
                </c:pt>
                <c:pt idx="16">
                  <c:v>28.24</c:v>
                </c:pt>
                <c:pt idx="17">
                  <c:v>44.349999999999994</c:v>
                </c:pt>
                <c:pt idx="18">
                  <c:v>43.28</c:v>
                </c:pt>
                <c:pt idx="19">
                  <c:v>40.21</c:v>
                </c:pt>
                <c:pt idx="20">
                  <c:v>28.279999999999987</c:v>
                </c:pt>
                <c:pt idx="21">
                  <c:v>27.34</c:v>
                </c:pt>
                <c:pt idx="22">
                  <c:v>36.065573770491845</c:v>
                </c:pt>
                <c:pt idx="23">
                  <c:v>43.96</c:v>
                </c:pt>
                <c:pt idx="24">
                  <c:v>39.78</c:v>
                </c:pt>
                <c:pt idx="25">
                  <c:v>43.64</c:v>
                </c:pt>
                <c:pt idx="26">
                  <c:v>30.34</c:v>
                </c:pt>
                <c:pt idx="27" formatCode="General">
                  <c:v>29.09</c:v>
                </c:pt>
              </c:numCache>
            </c:numRef>
          </c:val>
        </c:ser>
        <c:marker val="1"/>
        <c:axId val="104346752"/>
        <c:axId val="104348672"/>
      </c:lineChart>
      <c:catAx>
        <c:axId val="104346752"/>
        <c:scaling>
          <c:orientation val="minMax"/>
        </c:scaling>
        <c:axPos val="b"/>
        <c:tickLblPos val="nextTo"/>
        <c:crossAx val="104348672"/>
        <c:crosses val="autoZero"/>
        <c:auto val="1"/>
        <c:lblAlgn val="ctr"/>
        <c:lblOffset val="100"/>
        <c:tickLblSkip val="3"/>
        <c:tickMarkSkip val="3"/>
      </c:catAx>
      <c:valAx>
        <c:axId val="104348672"/>
        <c:scaling>
          <c:orientation val="minMax"/>
        </c:scaling>
        <c:axPos val="l"/>
        <c:majorGridlines/>
        <c:numFmt formatCode="0.00" sourceLinked="1"/>
        <c:tickLblPos val="nextTo"/>
        <c:crossAx val="10434675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dcterms:created xsi:type="dcterms:W3CDTF">2013-04-03T08:18:00Z</dcterms:created>
  <dcterms:modified xsi:type="dcterms:W3CDTF">2013-04-03T08:21:00Z</dcterms:modified>
</cp:coreProperties>
</file>