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67DE2">
      <w:r w:rsidRPr="00A67DE2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7DE2" w:rsidRDefault="00A67DE2"/>
    <w:p w:rsidR="00A67DE2" w:rsidRDefault="00A67DE2">
      <w:r w:rsidRPr="00A67DE2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7DE2" w:rsidRPr="003B44A5" w:rsidRDefault="00A67DE2">
      <w:r w:rsidRPr="003B44A5">
        <w:t xml:space="preserve">These two graphs show how even the </w:t>
      </w:r>
      <w:r w:rsidR="003B44A5">
        <w:t xml:space="preserve">2 day </w:t>
      </w:r>
      <w:r w:rsidRPr="003B44A5">
        <w:t xml:space="preserve">competition has been </w:t>
      </w:r>
      <w:r w:rsidR="003B44A5">
        <w:t xml:space="preserve">with </w:t>
      </w:r>
      <w:r w:rsidRPr="003B44A5">
        <w:t>a steady improvement over the past 10 years.</w:t>
      </w:r>
      <w:r w:rsidR="003B44A5">
        <w:t xml:space="preserve"> </w:t>
      </w:r>
      <w:proofErr w:type="gramStart"/>
      <w:r w:rsidR="003B44A5">
        <w:t>The lower differential, the closer the competition.</w:t>
      </w:r>
      <w:proofErr w:type="gramEnd"/>
    </w:p>
    <w:p w:rsidR="00A67DE2" w:rsidRPr="00A67DE2" w:rsidRDefault="00A67DE2">
      <w:pPr>
        <w:rPr>
          <w:sz w:val="20"/>
          <w:szCs w:val="20"/>
        </w:rPr>
      </w:pPr>
    </w:p>
    <w:p w:rsidR="00A67DE2" w:rsidRDefault="00A67DE2">
      <w:r w:rsidRPr="00A67DE2">
        <w:drawing>
          <wp:inline distT="0" distB="0" distL="0" distR="0">
            <wp:extent cx="4448175" cy="2438400"/>
            <wp:effectExtent l="19050" t="0" r="9525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7DE2" w:rsidRDefault="00A67DE2"/>
    <w:p w:rsidR="00A67DE2" w:rsidRDefault="00A67DE2">
      <w:r w:rsidRPr="00A67DE2">
        <w:drawing>
          <wp:inline distT="0" distB="0" distL="0" distR="0">
            <wp:extent cx="4448175" cy="2600325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7DE2" w:rsidRDefault="00A67DE2"/>
    <w:p w:rsidR="00A67DE2" w:rsidRDefault="00A67DE2">
      <w:r w:rsidRPr="00A67DE2">
        <w:drawing>
          <wp:inline distT="0" distB="0" distL="0" distR="0">
            <wp:extent cx="4381500" cy="25908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04F3" w:rsidRPr="003B44A5" w:rsidRDefault="00AD04F3">
      <w:pPr>
        <w:rPr>
          <w:sz w:val="20"/>
          <w:szCs w:val="20"/>
        </w:rPr>
      </w:pPr>
      <w:r w:rsidRPr="003B44A5">
        <w:rPr>
          <w:sz w:val="20"/>
          <w:szCs w:val="20"/>
        </w:rPr>
        <w:t>The number of centuries has remained at the same level but individual aggregates over 500 runs and more than 25 wickets have fallen substantially.</w:t>
      </w:r>
      <w:r w:rsidR="003B44A5" w:rsidRPr="003B44A5">
        <w:rPr>
          <w:sz w:val="20"/>
          <w:szCs w:val="20"/>
        </w:rPr>
        <w:t xml:space="preserve"> Presumably </w:t>
      </w:r>
      <w:proofErr w:type="gramStart"/>
      <w:r w:rsidR="003B44A5" w:rsidRPr="003B44A5">
        <w:rPr>
          <w:sz w:val="20"/>
          <w:szCs w:val="20"/>
        </w:rPr>
        <w:t>less</w:t>
      </w:r>
      <w:r w:rsidR="003B44A5">
        <w:rPr>
          <w:sz w:val="20"/>
          <w:szCs w:val="20"/>
        </w:rPr>
        <w:t xml:space="preserve"> </w:t>
      </w:r>
      <w:r w:rsidR="003B44A5" w:rsidRPr="003B44A5">
        <w:rPr>
          <w:sz w:val="20"/>
          <w:szCs w:val="20"/>
        </w:rPr>
        <w:t>cricket</w:t>
      </w:r>
      <w:proofErr w:type="gramEnd"/>
      <w:r w:rsidR="003B44A5" w:rsidRPr="003B44A5">
        <w:rPr>
          <w:sz w:val="20"/>
          <w:szCs w:val="20"/>
        </w:rPr>
        <w:t xml:space="preserve"> played.</w:t>
      </w:r>
    </w:p>
    <w:p w:rsidR="00AD04F3" w:rsidRDefault="00AD04F3"/>
    <w:p w:rsidR="00AD04F3" w:rsidRDefault="00AD04F3">
      <w:r w:rsidRPr="00AD04F3">
        <w:drawing>
          <wp:inline distT="0" distB="0" distL="0" distR="0">
            <wp:extent cx="4381500" cy="26670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04F3" w:rsidRDefault="00AD04F3">
      <w:r w:rsidRPr="00AD04F3">
        <w:drawing>
          <wp:inline distT="0" distB="0" distL="0" distR="0">
            <wp:extent cx="4324350" cy="2600325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04F3" w:rsidRDefault="00AD04F3"/>
    <w:p w:rsidR="00AD04F3" w:rsidRDefault="00AD04F3">
      <w:r w:rsidRPr="00AD04F3">
        <w:drawing>
          <wp:inline distT="0" distB="0" distL="0" distR="0">
            <wp:extent cx="4324350" cy="25908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04F3" w:rsidRDefault="00AD04F3"/>
    <w:p w:rsidR="00AD04F3" w:rsidRDefault="00AD04F3">
      <w:r w:rsidRPr="00AD04F3">
        <w:drawing>
          <wp:inline distT="0" distB="0" distL="0" distR="0">
            <wp:extent cx="4324350" cy="2638425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04F3" w:rsidRDefault="00AD04F3">
      <w:pPr>
        <w:rPr>
          <w:sz w:val="20"/>
          <w:szCs w:val="20"/>
        </w:rPr>
      </w:pPr>
      <w:r w:rsidRPr="00AD04F3">
        <w:rPr>
          <w:sz w:val="20"/>
          <w:szCs w:val="20"/>
        </w:rPr>
        <w:t xml:space="preserve">Scores over 200 at a similar level over the past three years, </w:t>
      </w:r>
      <w:r>
        <w:rPr>
          <w:sz w:val="20"/>
          <w:szCs w:val="20"/>
        </w:rPr>
        <w:t xml:space="preserve">only one score under 100, </w:t>
      </w:r>
      <w:r w:rsidRPr="00AD04F3">
        <w:rPr>
          <w:sz w:val="20"/>
          <w:szCs w:val="20"/>
        </w:rPr>
        <w:t>results have increased and the number of declarations are down.</w:t>
      </w:r>
    </w:p>
    <w:p w:rsidR="00AD04F3" w:rsidRDefault="00AD04F3">
      <w:pPr>
        <w:rPr>
          <w:sz w:val="20"/>
          <w:szCs w:val="20"/>
        </w:rPr>
      </w:pPr>
    </w:p>
    <w:p w:rsidR="00AD04F3" w:rsidRPr="00AD04F3" w:rsidRDefault="00AD04F3">
      <w:pPr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AD04F3">
        <w:rPr>
          <w:b/>
          <w:sz w:val="28"/>
          <w:szCs w:val="28"/>
        </w:rPr>
        <w:t>One Day Cricket</w:t>
      </w:r>
    </w:p>
    <w:p w:rsidR="00AD04F3" w:rsidRDefault="00AD04F3">
      <w:pPr>
        <w:rPr>
          <w:sz w:val="20"/>
          <w:szCs w:val="20"/>
        </w:rPr>
      </w:pPr>
    </w:p>
    <w:p w:rsidR="00AD04F3" w:rsidRDefault="00AD04F3">
      <w:pPr>
        <w:rPr>
          <w:sz w:val="20"/>
          <w:szCs w:val="20"/>
        </w:rPr>
      </w:pPr>
      <w:r w:rsidRPr="00AD04F3">
        <w:rPr>
          <w:sz w:val="20"/>
          <w:szCs w:val="20"/>
        </w:rPr>
        <w:drawing>
          <wp:inline distT="0" distB="0" distL="0" distR="0">
            <wp:extent cx="4429125" cy="3095625"/>
            <wp:effectExtent l="1905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04F3" w:rsidRDefault="00AD04F3">
      <w:pPr>
        <w:rPr>
          <w:sz w:val="20"/>
          <w:szCs w:val="20"/>
        </w:rPr>
      </w:pPr>
    </w:p>
    <w:p w:rsidR="00AD04F3" w:rsidRDefault="00AD04F3">
      <w:pPr>
        <w:rPr>
          <w:sz w:val="20"/>
          <w:szCs w:val="20"/>
        </w:rPr>
      </w:pPr>
    </w:p>
    <w:p w:rsidR="00AD04F3" w:rsidRDefault="00AD04F3">
      <w:pPr>
        <w:rPr>
          <w:sz w:val="20"/>
          <w:szCs w:val="20"/>
        </w:rPr>
      </w:pPr>
      <w:r w:rsidRPr="00AD04F3">
        <w:rPr>
          <w:sz w:val="20"/>
          <w:szCs w:val="20"/>
        </w:rPr>
        <w:drawing>
          <wp:inline distT="0" distB="0" distL="0" distR="0">
            <wp:extent cx="4429125" cy="2676525"/>
            <wp:effectExtent l="1905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D04F3" w:rsidRDefault="00AD04F3">
      <w:pPr>
        <w:rPr>
          <w:sz w:val="20"/>
          <w:szCs w:val="20"/>
        </w:rPr>
      </w:pPr>
    </w:p>
    <w:p w:rsidR="003B44A5" w:rsidRPr="003B44A5" w:rsidRDefault="00AD04F3">
      <w:r w:rsidRPr="003B44A5">
        <w:t xml:space="preserve">Only 16 scores over 200 which is very low, a poor start and finish to the season. Rounds 6.7.8 and 9 had 13 of the 16 scores. </w:t>
      </w:r>
      <w:r w:rsidR="003B44A5">
        <w:t>S</w:t>
      </w:r>
      <w:r w:rsidR="003B44A5" w:rsidRPr="003B44A5">
        <w:t>ix scores over 250. The number is back to that of the 2003/04 season.</w:t>
      </w:r>
    </w:p>
    <w:p w:rsidR="00AD04F3" w:rsidRPr="003B44A5" w:rsidRDefault="003B44A5">
      <w:r w:rsidRPr="003B44A5">
        <w:t xml:space="preserve"> </w:t>
      </w:r>
      <w:proofErr w:type="gramStart"/>
      <w:r w:rsidR="00AD04F3" w:rsidRPr="003B44A5">
        <w:t>In contrast only 2 scores under 100</w:t>
      </w:r>
      <w:r w:rsidRPr="003B44A5">
        <w:t>.</w:t>
      </w:r>
      <w:proofErr w:type="gramEnd"/>
    </w:p>
    <w:sectPr w:rsidR="00AD04F3" w:rsidRPr="003B44A5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67DE2"/>
    <w:rsid w:val="001A7CC8"/>
    <w:rsid w:val="00374C03"/>
    <w:rsid w:val="003B03B4"/>
    <w:rsid w:val="003B44A5"/>
    <w:rsid w:val="00563839"/>
    <w:rsid w:val="00A67DE2"/>
    <w:rsid w:val="00AD04F3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point%20differential%202%20day%20cricket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09-010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09-0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point%20differential%202%20day%20cricket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Indiv%20club%20score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Indiv%20club%20score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Indiv%20club%20scores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09-1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09-1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09-1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09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="0"/>
              <a:t>Competition</a:t>
            </a:r>
            <a:r>
              <a:rPr lang="en-NZ" sz="1200" b="0" baseline="0"/>
              <a:t> points high and low</a:t>
            </a:r>
            <a:endParaRPr lang="en-NZ" sz="1200" b="0"/>
          </a:p>
        </c:rich>
      </c:tx>
      <c:layout/>
      <c:spPr>
        <a:ln>
          <a:solidFill>
            <a:schemeClr val="accent1"/>
          </a:solidFill>
        </a:ln>
      </c:spPr>
    </c:title>
    <c:plotArea>
      <c:layout/>
      <c:lineChart>
        <c:grouping val="standard"/>
        <c:ser>
          <c:idx val="0"/>
          <c:order val="0"/>
          <c:tx>
            <c:strRef>
              <c:f>Sheet1!$E$1</c:f>
              <c:strCache>
                <c:ptCount val="1"/>
                <c:pt idx="0">
                  <c:v>High</c:v>
                </c:pt>
              </c:strCache>
            </c:strRef>
          </c:tx>
          <c:marker>
            <c:symbol val="square"/>
            <c:size val="2"/>
            <c:spPr>
              <a:solidFill>
                <a:srgbClr val="FF0000"/>
              </a:solidFill>
            </c:spPr>
          </c:marker>
          <c:cat>
            <c:strRef>
              <c:f>Sheet1!$D$2:$D$50</c:f>
              <c:strCache>
                <c:ptCount val="49"/>
                <c:pt idx="0">
                  <c:v>60/61</c:v>
                </c:pt>
                <c:pt idx="1">
                  <c:v>61/62</c:v>
                </c:pt>
                <c:pt idx="2">
                  <c:v>62/63</c:v>
                </c:pt>
                <c:pt idx="3">
                  <c:v>63/64</c:v>
                </c:pt>
                <c:pt idx="4">
                  <c:v>64/65</c:v>
                </c:pt>
                <c:pt idx="5">
                  <c:v>65/66</c:v>
                </c:pt>
                <c:pt idx="6">
                  <c:v>67/68</c:v>
                </c:pt>
                <c:pt idx="7">
                  <c:v>68/69</c:v>
                </c:pt>
                <c:pt idx="8">
                  <c:v>69/70</c:v>
                </c:pt>
                <c:pt idx="9">
                  <c:v>70/71</c:v>
                </c:pt>
                <c:pt idx="10">
                  <c:v>71/72</c:v>
                </c:pt>
                <c:pt idx="11">
                  <c:v>72/73</c:v>
                </c:pt>
                <c:pt idx="12">
                  <c:v>73/74</c:v>
                </c:pt>
                <c:pt idx="13">
                  <c:v>74/75</c:v>
                </c:pt>
                <c:pt idx="14">
                  <c:v>75/76</c:v>
                </c:pt>
                <c:pt idx="15">
                  <c:v>76/77</c:v>
                </c:pt>
                <c:pt idx="16">
                  <c:v>77/78</c:v>
                </c:pt>
                <c:pt idx="17">
                  <c:v>78/79</c:v>
                </c:pt>
                <c:pt idx="18">
                  <c:v>79/80</c:v>
                </c:pt>
                <c:pt idx="19">
                  <c:v>80/81</c:v>
                </c:pt>
                <c:pt idx="20">
                  <c:v>81/82</c:v>
                </c:pt>
                <c:pt idx="21">
                  <c:v>82/83</c:v>
                </c:pt>
                <c:pt idx="22">
                  <c:v>83/84</c:v>
                </c:pt>
                <c:pt idx="23">
                  <c:v>84/85</c:v>
                </c:pt>
                <c:pt idx="24">
                  <c:v>85/86</c:v>
                </c:pt>
                <c:pt idx="25">
                  <c:v>86/87</c:v>
                </c:pt>
                <c:pt idx="26">
                  <c:v>87/88</c:v>
                </c:pt>
                <c:pt idx="27">
                  <c:v>88/89</c:v>
                </c:pt>
                <c:pt idx="28">
                  <c:v>89/90</c:v>
                </c:pt>
                <c:pt idx="29">
                  <c:v>90/91</c:v>
                </c:pt>
                <c:pt idx="30">
                  <c:v>91/92</c:v>
                </c:pt>
                <c:pt idx="31">
                  <c:v>92/93</c:v>
                </c:pt>
                <c:pt idx="32">
                  <c:v>93/94</c:v>
                </c:pt>
                <c:pt idx="33">
                  <c:v>94/95</c:v>
                </c:pt>
                <c:pt idx="34">
                  <c:v>95/96</c:v>
                </c:pt>
                <c:pt idx="35">
                  <c:v>96/97</c:v>
                </c:pt>
                <c:pt idx="36">
                  <c:v>97/98</c:v>
                </c:pt>
                <c:pt idx="37">
                  <c:v>98/99</c:v>
                </c:pt>
                <c:pt idx="38">
                  <c:v>99/00</c:v>
                </c:pt>
                <c:pt idx="39">
                  <c:v>00/01</c:v>
                </c:pt>
                <c:pt idx="40">
                  <c:v>01/02</c:v>
                </c:pt>
                <c:pt idx="41">
                  <c:v>02/03</c:v>
                </c:pt>
                <c:pt idx="42">
                  <c:v>03/04</c:v>
                </c:pt>
                <c:pt idx="43">
                  <c:v>04/05</c:v>
                </c:pt>
                <c:pt idx="44">
                  <c:v>05/06</c:v>
                </c:pt>
                <c:pt idx="45">
                  <c:v>06/07</c:v>
                </c:pt>
                <c:pt idx="46">
                  <c:v>07/08</c:v>
                </c:pt>
                <c:pt idx="47">
                  <c:v>08/09</c:v>
                </c:pt>
                <c:pt idx="48">
                  <c:v>09/10</c:v>
                </c:pt>
              </c:strCache>
            </c:strRef>
          </c:cat>
          <c:val>
            <c:numRef>
              <c:f>Sheet1!$E$2:$E$50</c:f>
              <c:numCache>
                <c:formatCode>General</c:formatCode>
                <c:ptCount val="49"/>
                <c:pt idx="0">
                  <c:v>93</c:v>
                </c:pt>
                <c:pt idx="1">
                  <c:v>115</c:v>
                </c:pt>
                <c:pt idx="2">
                  <c:v>83</c:v>
                </c:pt>
                <c:pt idx="3">
                  <c:v>81</c:v>
                </c:pt>
                <c:pt idx="4">
                  <c:v>89</c:v>
                </c:pt>
                <c:pt idx="5">
                  <c:v>86</c:v>
                </c:pt>
                <c:pt idx="6">
                  <c:v>80</c:v>
                </c:pt>
                <c:pt idx="7">
                  <c:v>66</c:v>
                </c:pt>
                <c:pt idx="8">
                  <c:v>72</c:v>
                </c:pt>
                <c:pt idx="9">
                  <c:v>121</c:v>
                </c:pt>
                <c:pt idx="10">
                  <c:v>121</c:v>
                </c:pt>
                <c:pt idx="11">
                  <c:v>155</c:v>
                </c:pt>
                <c:pt idx="12">
                  <c:v>110</c:v>
                </c:pt>
                <c:pt idx="13">
                  <c:v>119.5</c:v>
                </c:pt>
                <c:pt idx="14">
                  <c:v>124</c:v>
                </c:pt>
                <c:pt idx="15">
                  <c:v>152</c:v>
                </c:pt>
                <c:pt idx="16">
                  <c:v>137.5</c:v>
                </c:pt>
                <c:pt idx="17">
                  <c:v>59</c:v>
                </c:pt>
                <c:pt idx="18">
                  <c:v>70</c:v>
                </c:pt>
                <c:pt idx="19">
                  <c:v>175</c:v>
                </c:pt>
                <c:pt idx="20">
                  <c:v>159</c:v>
                </c:pt>
                <c:pt idx="21">
                  <c:v>63</c:v>
                </c:pt>
                <c:pt idx="22">
                  <c:v>50</c:v>
                </c:pt>
                <c:pt idx="23">
                  <c:v>69</c:v>
                </c:pt>
                <c:pt idx="24">
                  <c:v>80</c:v>
                </c:pt>
                <c:pt idx="25">
                  <c:v>63</c:v>
                </c:pt>
                <c:pt idx="26">
                  <c:v>97</c:v>
                </c:pt>
                <c:pt idx="27">
                  <c:v>81</c:v>
                </c:pt>
                <c:pt idx="28">
                  <c:v>60</c:v>
                </c:pt>
                <c:pt idx="29">
                  <c:v>72</c:v>
                </c:pt>
                <c:pt idx="30">
                  <c:v>116</c:v>
                </c:pt>
                <c:pt idx="31">
                  <c:v>79</c:v>
                </c:pt>
                <c:pt idx="32">
                  <c:v>98</c:v>
                </c:pt>
                <c:pt idx="33">
                  <c:v>92</c:v>
                </c:pt>
                <c:pt idx="34">
                  <c:v>86</c:v>
                </c:pt>
                <c:pt idx="35">
                  <c:v>86</c:v>
                </c:pt>
                <c:pt idx="36">
                  <c:v>120</c:v>
                </c:pt>
                <c:pt idx="37">
                  <c:v>93</c:v>
                </c:pt>
                <c:pt idx="38">
                  <c:v>81</c:v>
                </c:pt>
                <c:pt idx="39">
                  <c:v>92</c:v>
                </c:pt>
                <c:pt idx="40">
                  <c:v>105</c:v>
                </c:pt>
                <c:pt idx="41">
                  <c:v>166</c:v>
                </c:pt>
                <c:pt idx="42">
                  <c:v>117</c:v>
                </c:pt>
                <c:pt idx="43">
                  <c:v>124</c:v>
                </c:pt>
                <c:pt idx="44">
                  <c:v>147</c:v>
                </c:pt>
                <c:pt idx="45">
                  <c:v>148.9</c:v>
                </c:pt>
                <c:pt idx="46">
                  <c:v>145.5</c:v>
                </c:pt>
                <c:pt idx="47">
                  <c:v>101.3</c:v>
                </c:pt>
                <c:pt idx="48" formatCode="0.00">
                  <c:v>90.89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Low</c:v>
                </c:pt>
              </c:strCache>
            </c:strRef>
          </c:tx>
          <c:marker>
            <c:symbol val="square"/>
            <c:size val="3"/>
            <c:spPr>
              <a:solidFill>
                <a:srgbClr val="0070C0"/>
              </a:solidFill>
            </c:spPr>
          </c:marker>
          <c:cat>
            <c:strRef>
              <c:f>Sheet1!$D$2:$D$50</c:f>
              <c:strCache>
                <c:ptCount val="49"/>
                <c:pt idx="0">
                  <c:v>60/61</c:v>
                </c:pt>
                <c:pt idx="1">
                  <c:v>61/62</c:v>
                </c:pt>
                <c:pt idx="2">
                  <c:v>62/63</c:v>
                </c:pt>
                <c:pt idx="3">
                  <c:v>63/64</c:v>
                </c:pt>
                <c:pt idx="4">
                  <c:v>64/65</c:v>
                </c:pt>
                <c:pt idx="5">
                  <c:v>65/66</c:v>
                </c:pt>
                <c:pt idx="6">
                  <c:v>67/68</c:v>
                </c:pt>
                <c:pt idx="7">
                  <c:v>68/69</c:v>
                </c:pt>
                <c:pt idx="8">
                  <c:v>69/70</c:v>
                </c:pt>
                <c:pt idx="9">
                  <c:v>70/71</c:v>
                </c:pt>
                <c:pt idx="10">
                  <c:v>71/72</c:v>
                </c:pt>
                <c:pt idx="11">
                  <c:v>72/73</c:v>
                </c:pt>
                <c:pt idx="12">
                  <c:v>73/74</c:v>
                </c:pt>
                <c:pt idx="13">
                  <c:v>74/75</c:v>
                </c:pt>
                <c:pt idx="14">
                  <c:v>75/76</c:v>
                </c:pt>
                <c:pt idx="15">
                  <c:v>76/77</c:v>
                </c:pt>
                <c:pt idx="16">
                  <c:v>77/78</c:v>
                </c:pt>
                <c:pt idx="17">
                  <c:v>78/79</c:v>
                </c:pt>
                <c:pt idx="18">
                  <c:v>79/80</c:v>
                </c:pt>
                <c:pt idx="19">
                  <c:v>80/81</c:v>
                </c:pt>
                <c:pt idx="20">
                  <c:v>81/82</c:v>
                </c:pt>
                <c:pt idx="21">
                  <c:v>82/83</c:v>
                </c:pt>
                <c:pt idx="22">
                  <c:v>83/84</c:v>
                </c:pt>
                <c:pt idx="23">
                  <c:v>84/85</c:v>
                </c:pt>
                <c:pt idx="24">
                  <c:v>85/86</c:v>
                </c:pt>
                <c:pt idx="25">
                  <c:v>86/87</c:v>
                </c:pt>
                <c:pt idx="26">
                  <c:v>87/88</c:v>
                </c:pt>
                <c:pt idx="27">
                  <c:v>88/89</c:v>
                </c:pt>
                <c:pt idx="28">
                  <c:v>89/90</c:v>
                </c:pt>
                <c:pt idx="29">
                  <c:v>90/91</c:v>
                </c:pt>
                <c:pt idx="30">
                  <c:v>91/92</c:v>
                </c:pt>
                <c:pt idx="31">
                  <c:v>92/93</c:v>
                </c:pt>
                <c:pt idx="32">
                  <c:v>93/94</c:v>
                </c:pt>
                <c:pt idx="33">
                  <c:v>94/95</c:v>
                </c:pt>
                <c:pt idx="34">
                  <c:v>95/96</c:v>
                </c:pt>
                <c:pt idx="35">
                  <c:v>96/97</c:v>
                </c:pt>
                <c:pt idx="36">
                  <c:v>97/98</c:v>
                </c:pt>
                <c:pt idx="37">
                  <c:v>98/99</c:v>
                </c:pt>
                <c:pt idx="38">
                  <c:v>99/00</c:v>
                </c:pt>
                <c:pt idx="39">
                  <c:v>00/01</c:v>
                </c:pt>
                <c:pt idx="40">
                  <c:v>01/02</c:v>
                </c:pt>
                <c:pt idx="41">
                  <c:v>02/03</c:v>
                </c:pt>
                <c:pt idx="42">
                  <c:v>03/04</c:v>
                </c:pt>
                <c:pt idx="43">
                  <c:v>04/05</c:v>
                </c:pt>
                <c:pt idx="44">
                  <c:v>05/06</c:v>
                </c:pt>
                <c:pt idx="45">
                  <c:v>06/07</c:v>
                </c:pt>
                <c:pt idx="46">
                  <c:v>07/08</c:v>
                </c:pt>
                <c:pt idx="47">
                  <c:v>08/09</c:v>
                </c:pt>
                <c:pt idx="48">
                  <c:v>09/10</c:v>
                </c:pt>
              </c:strCache>
            </c:strRef>
          </c:cat>
          <c:val>
            <c:numRef>
              <c:f>Sheet1!$F$2:$F$50</c:f>
              <c:numCache>
                <c:formatCode>General</c:formatCode>
                <c:ptCount val="49"/>
                <c:pt idx="0">
                  <c:v>38</c:v>
                </c:pt>
                <c:pt idx="1">
                  <c:v>28</c:v>
                </c:pt>
                <c:pt idx="2">
                  <c:v>22</c:v>
                </c:pt>
                <c:pt idx="3">
                  <c:v>34</c:v>
                </c:pt>
                <c:pt idx="4">
                  <c:v>18</c:v>
                </c:pt>
                <c:pt idx="5">
                  <c:v>15</c:v>
                </c:pt>
                <c:pt idx="6">
                  <c:v>13</c:v>
                </c:pt>
                <c:pt idx="7">
                  <c:v>15</c:v>
                </c:pt>
                <c:pt idx="8">
                  <c:v>26</c:v>
                </c:pt>
                <c:pt idx="9">
                  <c:v>76</c:v>
                </c:pt>
                <c:pt idx="10">
                  <c:v>76</c:v>
                </c:pt>
                <c:pt idx="11">
                  <c:v>78</c:v>
                </c:pt>
                <c:pt idx="12">
                  <c:v>77.5</c:v>
                </c:pt>
                <c:pt idx="13">
                  <c:v>60.5</c:v>
                </c:pt>
                <c:pt idx="14">
                  <c:v>40.5</c:v>
                </c:pt>
                <c:pt idx="15">
                  <c:v>74.5</c:v>
                </c:pt>
                <c:pt idx="16">
                  <c:v>37.5</c:v>
                </c:pt>
                <c:pt idx="17">
                  <c:v>29</c:v>
                </c:pt>
                <c:pt idx="18">
                  <c:v>33</c:v>
                </c:pt>
                <c:pt idx="19">
                  <c:v>82</c:v>
                </c:pt>
                <c:pt idx="20">
                  <c:v>90</c:v>
                </c:pt>
                <c:pt idx="21">
                  <c:v>32</c:v>
                </c:pt>
                <c:pt idx="22">
                  <c:v>27</c:v>
                </c:pt>
                <c:pt idx="23">
                  <c:v>25.5</c:v>
                </c:pt>
                <c:pt idx="24">
                  <c:v>11</c:v>
                </c:pt>
                <c:pt idx="25">
                  <c:v>23</c:v>
                </c:pt>
                <c:pt idx="26">
                  <c:v>19</c:v>
                </c:pt>
                <c:pt idx="27">
                  <c:v>18.5</c:v>
                </c:pt>
                <c:pt idx="28">
                  <c:v>26</c:v>
                </c:pt>
                <c:pt idx="29">
                  <c:v>29</c:v>
                </c:pt>
                <c:pt idx="30">
                  <c:v>33</c:v>
                </c:pt>
                <c:pt idx="31">
                  <c:v>7</c:v>
                </c:pt>
                <c:pt idx="32">
                  <c:v>22</c:v>
                </c:pt>
                <c:pt idx="33">
                  <c:v>22</c:v>
                </c:pt>
                <c:pt idx="34">
                  <c:v>14</c:v>
                </c:pt>
                <c:pt idx="35">
                  <c:v>28</c:v>
                </c:pt>
                <c:pt idx="36">
                  <c:v>25</c:v>
                </c:pt>
                <c:pt idx="37">
                  <c:v>6</c:v>
                </c:pt>
                <c:pt idx="38">
                  <c:v>27</c:v>
                </c:pt>
                <c:pt idx="39">
                  <c:v>30</c:v>
                </c:pt>
                <c:pt idx="40">
                  <c:v>38</c:v>
                </c:pt>
                <c:pt idx="41">
                  <c:v>46</c:v>
                </c:pt>
                <c:pt idx="42">
                  <c:v>43</c:v>
                </c:pt>
                <c:pt idx="43">
                  <c:v>55</c:v>
                </c:pt>
                <c:pt idx="44">
                  <c:v>45</c:v>
                </c:pt>
                <c:pt idx="45">
                  <c:v>59.6</c:v>
                </c:pt>
                <c:pt idx="46">
                  <c:v>61.3</c:v>
                </c:pt>
                <c:pt idx="47">
                  <c:v>36.700000000000003</c:v>
                </c:pt>
                <c:pt idx="48" formatCode="0.00">
                  <c:v>47.41</c:v>
                </c:pt>
              </c:numCache>
            </c:numRef>
          </c:val>
        </c:ser>
        <c:marker val="1"/>
        <c:axId val="43744640"/>
        <c:axId val="44148224"/>
      </c:lineChart>
      <c:catAx>
        <c:axId val="4374464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44148224"/>
        <c:crosses val="autoZero"/>
        <c:auto val="1"/>
        <c:lblAlgn val="ctr"/>
        <c:lblOffset val="100"/>
        <c:tickLblSkip val="5"/>
        <c:tickMarkSkip val="5"/>
      </c:catAx>
      <c:valAx>
        <c:axId val="4414822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4374464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Scores over 200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Sheet1!$O$46:$O$70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Sheet1!$P$46:$P$70</c:f>
              <c:numCache>
                <c:formatCode>0.00</c:formatCode>
                <c:ptCount val="25"/>
                <c:pt idx="0">
                  <c:v>26.67</c:v>
                </c:pt>
                <c:pt idx="1">
                  <c:v>27.5</c:v>
                </c:pt>
                <c:pt idx="2">
                  <c:v>27.777777777777779</c:v>
                </c:pt>
                <c:pt idx="3">
                  <c:v>31.666666666666664</c:v>
                </c:pt>
                <c:pt idx="4">
                  <c:v>32.857142857142847</c:v>
                </c:pt>
                <c:pt idx="5">
                  <c:v>33.75</c:v>
                </c:pt>
                <c:pt idx="6">
                  <c:v>36.25</c:v>
                </c:pt>
                <c:pt idx="7">
                  <c:v>30.76923076923077</c:v>
                </c:pt>
                <c:pt idx="8">
                  <c:v>35</c:v>
                </c:pt>
                <c:pt idx="9">
                  <c:v>26.666666666666668</c:v>
                </c:pt>
                <c:pt idx="10">
                  <c:v>30.76923076923077</c:v>
                </c:pt>
                <c:pt idx="11">
                  <c:v>16.666666666666664</c:v>
                </c:pt>
                <c:pt idx="12">
                  <c:v>33.333333333333329</c:v>
                </c:pt>
                <c:pt idx="13">
                  <c:v>23.4375</c:v>
                </c:pt>
                <c:pt idx="14">
                  <c:v>38.095238095238102</c:v>
                </c:pt>
                <c:pt idx="15">
                  <c:v>23.214285714285719</c:v>
                </c:pt>
                <c:pt idx="16">
                  <c:v>32.5</c:v>
                </c:pt>
                <c:pt idx="17">
                  <c:v>39.062500000000007</c:v>
                </c:pt>
                <c:pt idx="18">
                  <c:v>23.684210526315788</c:v>
                </c:pt>
                <c:pt idx="19">
                  <c:v>32.809999999999995</c:v>
                </c:pt>
                <c:pt idx="20">
                  <c:v>26.759999999999998</c:v>
                </c:pt>
                <c:pt idx="21">
                  <c:v>37.313432835820905</c:v>
                </c:pt>
                <c:pt idx="22">
                  <c:v>38.24</c:v>
                </c:pt>
                <c:pt idx="23">
                  <c:v>35.71</c:v>
                </c:pt>
                <c:pt idx="24" formatCode="General">
                  <c:v>22.86</c:v>
                </c:pt>
              </c:numCache>
            </c:numRef>
          </c:val>
        </c:ser>
        <c:marker val="1"/>
        <c:axId val="65807104"/>
        <c:axId val="65851392"/>
      </c:lineChart>
      <c:catAx>
        <c:axId val="65807104"/>
        <c:scaling>
          <c:orientation val="minMax"/>
        </c:scaling>
        <c:axPos val="b"/>
        <c:tickLblPos val="nextTo"/>
        <c:crossAx val="65851392"/>
        <c:crosses val="autoZero"/>
        <c:auto val="1"/>
        <c:lblAlgn val="ctr"/>
        <c:lblOffset val="100"/>
        <c:tickLblSkip val="4"/>
        <c:tickMarkSkip val="4"/>
      </c:catAx>
      <c:valAx>
        <c:axId val="65851392"/>
        <c:scaling>
          <c:orientation val="minMax"/>
          <c:max val="45"/>
          <c:min val="1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807104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Sheet1!$S$46:$S$70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Sheet1!$T$46:$T$70</c:f>
              <c:numCache>
                <c:formatCode>0.00</c:formatCode>
                <c:ptCount val="25"/>
                <c:pt idx="0" formatCode="General">
                  <c:v>6.67</c:v>
                </c:pt>
                <c:pt idx="1">
                  <c:v>5</c:v>
                </c:pt>
                <c:pt idx="2">
                  <c:v>5.5555555555555536</c:v>
                </c:pt>
                <c:pt idx="3">
                  <c:v>0</c:v>
                </c:pt>
                <c:pt idx="4">
                  <c:v>2.8571428571428572</c:v>
                </c:pt>
                <c:pt idx="5">
                  <c:v>5</c:v>
                </c:pt>
                <c:pt idx="6">
                  <c:v>8.75</c:v>
                </c:pt>
                <c:pt idx="7">
                  <c:v>11.538461538461538</c:v>
                </c:pt>
                <c:pt idx="8">
                  <c:v>7.5</c:v>
                </c:pt>
                <c:pt idx="9">
                  <c:v>4.4444444444444455</c:v>
                </c:pt>
                <c:pt idx="10">
                  <c:v>3.8461538461538463</c:v>
                </c:pt>
                <c:pt idx="11">
                  <c:v>12.121212121212118</c:v>
                </c:pt>
                <c:pt idx="12">
                  <c:v>8.9743589743589727</c:v>
                </c:pt>
                <c:pt idx="13">
                  <c:v>6.25</c:v>
                </c:pt>
                <c:pt idx="14">
                  <c:v>7.9365079365079358</c:v>
                </c:pt>
                <c:pt idx="15">
                  <c:v>8.9285714285714253</c:v>
                </c:pt>
                <c:pt idx="16">
                  <c:v>7.5</c:v>
                </c:pt>
                <c:pt idx="17">
                  <c:v>6.25</c:v>
                </c:pt>
                <c:pt idx="18">
                  <c:v>1.3157894736842104</c:v>
                </c:pt>
                <c:pt idx="19">
                  <c:v>9.3800000000000008</c:v>
                </c:pt>
                <c:pt idx="20">
                  <c:v>4.2300000000000004</c:v>
                </c:pt>
                <c:pt idx="21">
                  <c:v>8.9552238805970141</c:v>
                </c:pt>
                <c:pt idx="22">
                  <c:v>5.88</c:v>
                </c:pt>
                <c:pt idx="23">
                  <c:v>7.14</c:v>
                </c:pt>
                <c:pt idx="24" formatCode="General">
                  <c:v>2.86</c:v>
                </c:pt>
              </c:numCache>
            </c:numRef>
          </c:val>
        </c:ser>
        <c:marker val="1"/>
        <c:axId val="66189568"/>
        <c:axId val="66371968"/>
      </c:lineChart>
      <c:catAx>
        <c:axId val="66189568"/>
        <c:scaling>
          <c:orientation val="minMax"/>
        </c:scaling>
        <c:axPos val="b"/>
        <c:tickLblPos val="nextTo"/>
        <c:crossAx val="66371968"/>
        <c:crosses val="autoZero"/>
        <c:auto val="1"/>
        <c:lblAlgn val="ctr"/>
        <c:lblOffset val="100"/>
        <c:tickLblSkip val="4"/>
        <c:tickMarkSkip val="4"/>
      </c:catAx>
      <c:valAx>
        <c:axId val="66371968"/>
        <c:scaling>
          <c:orientation val="minMax"/>
        </c:scaling>
        <c:axPos val="l"/>
        <c:majorGridlines/>
        <c:numFmt formatCode="General" sourceLinked="1"/>
        <c:tickLblPos val="nextTo"/>
        <c:crossAx val="6618956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="0"/>
            </a:pPr>
            <a:r>
              <a:rPr lang="en-NZ" sz="1200" b="0"/>
              <a:t>Percentage</a:t>
            </a:r>
            <a:r>
              <a:rPr lang="en-NZ" sz="1200" b="0" baseline="0"/>
              <a:t> Points Differential</a:t>
            </a:r>
            <a:endParaRPr lang="en-NZ" sz="1200" b="0"/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FF0000"/>
              </a:solidFill>
            </c:spPr>
          </c:marker>
          <c:cat>
            <c:strRef>
              <c:f>Sheet1!$A$2:$A$50</c:f>
              <c:strCache>
                <c:ptCount val="49"/>
                <c:pt idx="0">
                  <c:v>60/61</c:v>
                </c:pt>
                <c:pt idx="1">
                  <c:v>61/62</c:v>
                </c:pt>
                <c:pt idx="2">
                  <c:v>62/63</c:v>
                </c:pt>
                <c:pt idx="3">
                  <c:v>63/64</c:v>
                </c:pt>
                <c:pt idx="4">
                  <c:v>64/65</c:v>
                </c:pt>
                <c:pt idx="5">
                  <c:v>65/66</c:v>
                </c:pt>
                <c:pt idx="6">
                  <c:v>67/68</c:v>
                </c:pt>
                <c:pt idx="7">
                  <c:v>68/69</c:v>
                </c:pt>
                <c:pt idx="8">
                  <c:v>69/70</c:v>
                </c:pt>
                <c:pt idx="9">
                  <c:v>70/71</c:v>
                </c:pt>
                <c:pt idx="10">
                  <c:v>71/72</c:v>
                </c:pt>
                <c:pt idx="11">
                  <c:v>72/73</c:v>
                </c:pt>
                <c:pt idx="12">
                  <c:v>73/74</c:v>
                </c:pt>
                <c:pt idx="13">
                  <c:v>74/75</c:v>
                </c:pt>
                <c:pt idx="14">
                  <c:v>75/76</c:v>
                </c:pt>
                <c:pt idx="15">
                  <c:v>76/77</c:v>
                </c:pt>
                <c:pt idx="16">
                  <c:v>77/78</c:v>
                </c:pt>
                <c:pt idx="17">
                  <c:v>78/79</c:v>
                </c:pt>
                <c:pt idx="18">
                  <c:v>79/80</c:v>
                </c:pt>
                <c:pt idx="19">
                  <c:v>80/81</c:v>
                </c:pt>
                <c:pt idx="20">
                  <c:v>81/82</c:v>
                </c:pt>
                <c:pt idx="21">
                  <c:v>82/83</c:v>
                </c:pt>
                <c:pt idx="22">
                  <c:v>83/84</c:v>
                </c:pt>
                <c:pt idx="23">
                  <c:v>84/85</c:v>
                </c:pt>
                <c:pt idx="24">
                  <c:v>85/86</c:v>
                </c:pt>
                <c:pt idx="25">
                  <c:v>86/87</c:v>
                </c:pt>
                <c:pt idx="26">
                  <c:v>87/88</c:v>
                </c:pt>
                <c:pt idx="27">
                  <c:v>88/89</c:v>
                </c:pt>
                <c:pt idx="28">
                  <c:v>89/90</c:v>
                </c:pt>
                <c:pt idx="29">
                  <c:v>90/91</c:v>
                </c:pt>
                <c:pt idx="30">
                  <c:v>91/92</c:v>
                </c:pt>
                <c:pt idx="31">
                  <c:v>92/93</c:v>
                </c:pt>
                <c:pt idx="32">
                  <c:v>93/94</c:v>
                </c:pt>
                <c:pt idx="33">
                  <c:v>94/95</c:v>
                </c:pt>
                <c:pt idx="34">
                  <c:v>95/96</c:v>
                </c:pt>
                <c:pt idx="35">
                  <c:v>96/97</c:v>
                </c:pt>
                <c:pt idx="36">
                  <c:v>97/98</c:v>
                </c:pt>
                <c:pt idx="37">
                  <c:v>98/99</c:v>
                </c:pt>
                <c:pt idx="38">
                  <c:v>99/00</c:v>
                </c:pt>
                <c:pt idx="39">
                  <c:v>00/01</c:v>
                </c:pt>
                <c:pt idx="40">
                  <c:v>01/02</c:v>
                </c:pt>
                <c:pt idx="41">
                  <c:v>02/03</c:v>
                </c:pt>
                <c:pt idx="42">
                  <c:v>03/04</c:v>
                </c:pt>
                <c:pt idx="43">
                  <c:v>04/05</c:v>
                </c:pt>
                <c:pt idx="44">
                  <c:v>05/06</c:v>
                </c:pt>
                <c:pt idx="45">
                  <c:v>06/07</c:v>
                </c:pt>
                <c:pt idx="46">
                  <c:v>07/08</c:v>
                </c:pt>
                <c:pt idx="47">
                  <c:v>08/09</c:v>
                </c:pt>
                <c:pt idx="48">
                  <c:v>09/10</c:v>
                </c:pt>
              </c:strCache>
            </c:strRef>
          </c:cat>
          <c:val>
            <c:numRef>
              <c:f>Sheet1!$B$2:$B$50</c:f>
              <c:numCache>
                <c:formatCode>0.00%</c:formatCode>
                <c:ptCount val="49"/>
                <c:pt idx="0">
                  <c:v>0.59139999999999993</c:v>
                </c:pt>
                <c:pt idx="1">
                  <c:v>0.75649999999999995</c:v>
                </c:pt>
                <c:pt idx="2">
                  <c:v>0.73490000000000011</c:v>
                </c:pt>
                <c:pt idx="3">
                  <c:v>0.58019999999999994</c:v>
                </c:pt>
                <c:pt idx="4">
                  <c:v>0.79779999999999995</c:v>
                </c:pt>
                <c:pt idx="5">
                  <c:v>0.82560000000000011</c:v>
                </c:pt>
                <c:pt idx="6">
                  <c:v>0.83750000000000002</c:v>
                </c:pt>
                <c:pt idx="7">
                  <c:v>0.77270000000000016</c:v>
                </c:pt>
                <c:pt idx="8">
                  <c:v>0.63890000000000013</c:v>
                </c:pt>
                <c:pt idx="9">
                  <c:v>0.28930000000000006</c:v>
                </c:pt>
                <c:pt idx="10">
                  <c:v>0.37190000000000006</c:v>
                </c:pt>
                <c:pt idx="11">
                  <c:v>0.49680000000000007</c:v>
                </c:pt>
                <c:pt idx="12">
                  <c:v>0.35000000000000003</c:v>
                </c:pt>
                <c:pt idx="13">
                  <c:v>0.49370000000000008</c:v>
                </c:pt>
                <c:pt idx="14">
                  <c:v>0.67340000000000011</c:v>
                </c:pt>
                <c:pt idx="15">
                  <c:v>0.50990000000000002</c:v>
                </c:pt>
                <c:pt idx="16">
                  <c:v>0.72729999999999995</c:v>
                </c:pt>
                <c:pt idx="17">
                  <c:v>0.50849999999999984</c:v>
                </c:pt>
                <c:pt idx="18">
                  <c:v>0.52859999999999996</c:v>
                </c:pt>
                <c:pt idx="19">
                  <c:v>0.53139999999999998</c:v>
                </c:pt>
                <c:pt idx="20">
                  <c:v>0.43400000000000005</c:v>
                </c:pt>
                <c:pt idx="21">
                  <c:v>0.49210000000000004</c:v>
                </c:pt>
                <c:pt idx="22">
                  <c:v>0.46</c:v>
                </c:pt>
                <c:pt idx="23">
                  <c:v>0.63040000000000007</c:v>
                </c:pt>
                <c:pt idx="24">
                  <c:v>0.86250000000000004</c:v>
                </c:pt>
                <c:pt idx="25">
                  <c:v>0.63490000000000013</c:v>
                </c:pt>
                <c:pt idx="26">
                  <c:v>0.80410000000000004</c:v>
                </c:pt>
                <c:pt idx="27">
                  <c:v>0.77159999999999995</c:v>
                </c:pt>
                <c:pt idx="28">
                  <c:v>0.56670000000000009</c:v>
                </c:pt>
                <c:pt idx="29">
                  <c:v>0.59719999999999984</c:v>
                </c:pt>
                <c:pt idx="30">
                  <c:v>0.71550000000000002</c:v>
                </c:pt>
                <c:pt idx="31">
                  <c:v>0.91139999999999999</c:v>
                </c:pt>
                <c:pt idx="32">
                  <c:v>0.77550000000000008</c:v>
                </c:pt>
                <c:pt idx="33">
                  <c:v>0.76090000000000013</c:v>
                </c:pt>
                <c:pt idx="34">
                  <c:v>0.83720000000000017</c:v>
                </c:pt>
                <c:pt idx="35">
                  <c:v>0.67440000000000011</c:v>
                </c:pt>
                <c:pt idx="36">
                  <c:v>0.79170000000000007</c:v>
                </c:pt>
                <c:pt idx="37">
                  <c:v>0.9355</c:v>
                </c:pt>
                <c:pt idx="38">
                  <c:v>0.66670000000000018</c:v>
                </c:pt>
                <c:pt idx="39">
                  <c:v>0.67390000000000017</c:v>
                </c:pt>
                <c:pt idx="40">
                  <c:v>0.63810000000000011</c:v>
                </c:pt>
                <c:pt idx="41">
                  <c:v>0.7229000000000001</c:v>
                </c:pt>
                <c:pt idx="42">
                  <c:v>0.63249999999999995</c:v>
                </c:pt>
                <c:pt idx="43">
                  <c:v>0.55649999999999999</c:v>
                </c:pt>
                <c:pt idx="44">
                  <c:v>0.69390000000000007</c:v>
                </c:pt>
                <c:pt idx="45">
                  <c:v>0.4</c:v>
                </c:pt>
                <c:pt idx="46">
                  <c:v>0.57860000000000011</c:v>
                </c:pt>
                <c:pt idx="47">
                  <c:v>0.3620000000000001</c:v>
                </c:pt>
                <c:pt idx="48">
                  <c:v>0.52159999999999984</c:v>
                </c:pt>
              </c:numCache>
            </c:numRef>
          </c:val>
        </c:ser>
        <c:marker val="1"/>
        <c:axId val="52137984"/>
        <c:axId val="52141440"/>
      </c:lineChart>
      <c:catAx>
        <c:axId val="5213798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52141440"/>
        <c:crosses val="autoZero"/>
        <c:auto val="1"/>
        <c:lblAlgn val="ctr"/>
        <c:lblOffset val="100"/>
        <c:tickLblSkip val="5"/>
        <c:tickMarkSkip val="5"/>
      </c:catAx>
      <c:valAx>
        <c:axId val="52141440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52137984"/>
        <c:crosses val="autoZero"/>
        <c:crossBetween val="between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Centuries in a season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dLbls>
            <c:showVal val="1"/>
          </c:dLbls>
          <c:cat>
            <c:strRef>
              <c:f>Sheet1!$A$26:$A$44</c:f>
              <c:strCache>
                <c:ptCount val="19"/>
                <c:pt idx="0">
                  <c:v>1991/92</c:v>
                </c:pt>
                <c:pt idx="1">
                  <c:v>1992/93</c:v>
                </c:pt>
                <c:pt idx="2">
                  <c:v>1993/94</c:v>
                </c:pt>
                <c:pt idx="3">
                  <c:v>1994/95</c:v>
                </c:pt>
                <c:pt idx="4">
                  <c:v>1995/96</c:v>
                </c:pt>
                <c:pt idx="5">
                  <c:v>1996/97</c:v>
                </c:pt>
                <c:pt idx="6">
                  <c:v>1997/98</c:v>
                </c:pt>
                <c:pt idx="7">
                  <c:v>1998/99</c:v>
                </c:pt>
                <c:pt idx="8">
                  <c:v>1999/00</c:v>
                </c:pt>
                <c:pt idx="9">
                  <c:v>2000/01</c:v>
                </c:pt>
                <c:pt idx="10">
                  <c:v>2001/02</c:v>
                </c:pt>
                <c:pt idx="11">
                  <c:v>2002/03</c:v>
                </c:pt>
                <c:pt idx="12">
                  <c:v>2003/04</c:v>
                </c:pt>
                <c:pt idx="13">
                  <c:v>2004/05</c:v>
                </c:pt>
                <c:pt idx="14">
                  <c:v>2005/06</c:v>
                </c:pt>
                <c:pt idx="15">
                  <c:v>2006/07</c:v>
                </c:pt>
                <c:pt idx="16">
                  <c:v>2007/08</c:v>
                </c:pt>
                <c:pt idx="17">
                  <c:v>2008/09</c:v>
                </c:pt>
                <c:pt idx="18">
                  <c:v>2009/10</c:v>
                </c:pt>
              </c:strCache>
            </c:strRef>
          </c:cat>
          <c:val>
            <c:numRef>
              <c:f>Sheet1!$B$26:$B$44</c:f>
              <c:numCache>
                <c:formatCode>General</c:formatCode>
                <c:ptCount val="19"/>
                <c:pt idx="0">
                  <c:v>15</c:v>
                </c:pt>
                <c:pt idx="1">
                  <c:v>13</c:v>
                </c:pt>
                <c:pt idx="2">
                  <c:v>14</c:v>
                </c:pt>
                <c:pt idx="3">
                  <c:v>13</c:v>
                </c:pt>
                <c:pt idx="4">
                  <c:v>14</c:v>
                </c:pt>
                <c:pt idx="5">
                  <c:v>12</c:v>
                </c:pt>
                <c:pt idx="6">
                  <c:v>8</c:v>
                </c:pt>
                <c:pt idx="7">
                  <c:v>5</c:v>
                </c:pt>
                <c:pt idx="8">
                  <c:v>5</c:v>
                </c:pt>
                <c:pt idx="9">
                  <c:v>13</c:v>
                </c:pt>
                <c:pt idx="10">
                  <c:v>8</c:v>
                </c:pt>
                <c:pt idx="11">
                  <c:v>5</c:v>
                </c:pt>
                <c:pt idx="12">
                  <c:v>13</c:v>
                </c:pt>
                <c:pt idx="13">
                  <c:v>17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</c:numCache>
            </c:numRef>
          </c:val>
        </c:ser>
        <c:marker val="1"/>
        <c:axId val="52206592"/>
        <c:axId val="52240768"/>
      </c:lineChart>
      <c:catAx>
        <c:axId val="5220659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52240768"/>
        <c:crosses val="autoZero"/>
        <c:auto val="1"/>
        <c:lblAlgn val="ctr"/>
        <c:lblOffset val="100"/>
        <c:tickLblSkip val="3"/>
        <c:tickMarkSkip val="3"/>
      </c:catAx>
      <c:valAx>
        <c:axId val="52240768"/>
        <c:scaling>
          <c:orientation val="minMax"/>
        </c:scaling>
        <c:axPos val="l"/>
        <c:majorGridlines/>
        <c:numFmt formatCode="General" sourceLinked="1"/>
        <c:tickLblPos val="nextTo"/>
        <c:crossAx val="522065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Wickets in a season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Sheet1!$I$25</c:f>
              <c:strCache>
                <c:ptCount val="1"/>
                <c:pt idx="0">
                  <c:v>over 30 wkts</c:v>
                </c:pt>
              </c:strCache>
            </c:strRef>
          </c:tx>
          <c:marker>
            <c:symbol val="square"/>
            <c:size val="3"/>
            <c:spPr>
              <a:solidFill>
                <a:srgbClr val="C00000"/>
              </a:solidFill>
            </c:spPr>
          </c:marker>
          <c:dLbls>
            <c:showVal val="1"/>
          </c:dLbls>
          <c:cat>
            <c:strRef>
              <c:f>Sheet1!$H$26:$H$39</c:f>
              <c:strCache>
                <c:ptCount val="14"/>
                <c:pt idx="0">
                  <c:v>1996/97</c:v>
                </c:pt>
                <c:pt idx="1">
                  <c:v>1997/98</c:v>
                </c:pt>
                <c:pt idx="2">
                  <c:v>1998/99</c:v>
                </c:pt>
                <c:pt idx="3">
                  <c:v>1999/00</c:v>
                </c:pt>
                <c:pt idx="4">
                  <c:v>2000/01</c:v>
                </c:pt>
                <c:pt idx="5">
                  <c:v>2001/02</c:v>
                </c:pt>
                <c:pt idx="6">
                  <c:v>2002/03</c:v>
                </c:pt>
                <c:pt idx="7">
                  <c:v>2003/04</c:v>
                </c:pt>
                <c:pt idx="8">
                  <c:v>2004/05</c:v>
                </c:pt>
                <c:pt idx="9">
                  <c:v>2005/06</c:v>
                </c:pt>
                <c:pt idx="10">
                  <c:v>2006/07</c:v>
                </c:pt>
                <c:pt idx="11">
                  <c:v>2007/08</c:v>
                </c:pt>
                <c:pt idx="12">
                  <c:v>2008/09</c:v>
                </c:pt>
                <c:pt idx="13">
                  <c:v>2009/10</c:v>
                </c:pt>
              </c:strCache>
            </c:strRef>
          </c:cat>
          <c:val>
            <c:numRef>
              <c:f>Sheet1!$I$26:$I$39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Sheet1!$J$25</c:f>
              <c:strCache>
                <c:ptCount val="1"/>
                <c:pt idx="0">
                  <c:v>Over 25 wkts</c:v>
                </c:pt>
              </c:strCache>
            </c:strRef>
          </c:tx>
          <c:marker>
            <c:symbol val="diamond"/>
            <c:size val="3"/>
            <c:spPr>
              <a:solidFill>
                <a:srgbClr val="0070C0"/>
              </a:solidFill>
            </c:spPr>
          </c:marker>
          <c:dLbls>
            <c:showVal val="1"/>
          </c:dLbls>
          <c:cat>
            <c:strRef>
              <c:f>Sheet1!$H$26:$H$39</c:f>
              <c:strCache>
                <c:ptCount val="14"/>
                <c:pt idx="0">
                  <c:v>1996/97</c:v>
                </c:pt>
                <c:pt idx="1">
                  <c:v>1997/98</c:v>
                </c:pt>
                <c:pt idx="2">
                  <c:v>1998/99</c:v>
                </c:pt>
                <c:pt idx="3">
                  <c:v>1999/00</c:v>
                </c:pt>
                <c:pt idx="4">
                  <c:v>2000/01</c:v>
                </c:pt>
                <c:pt idx="5">
                  <c:v>2001/02</c:v>
                </c:pt>
                <c:pt idx="6">
                  <c:v>2002/03</c:v>
                </c:pt>
                <c:pt idx="7">
                  <c:v>2003/04</c:v>
                </c:pt>
                <c:pt idx="8">
                  <c:v>2004/05</c:v>
                </c:pt>
                <c:pt idx="9">
                  <c:v>2005/06</c:v>
                </c:pt>
                <c:pt idx="10">
                  <c:v>2006/07</c:v>
                </c:pt>
                <c:pt idx="11">
                  <c:v>2007/08</c:v>
                </c:pt>
                <c:pt idx="12">
                  <c:v>2008/09</c:v>
                </c:pt>
                <c:pt idx="13">
                  <c:v>2009/10</c:v>
                </c:pt>
              </c:strCache>
            </c:strRef>
          </c:cat>
          <c:val>
            <c:numRef>
              <c:f>Sheet1!$J$26:$J$39</c:f>
              <c:numCache>
                <c:formatCode>General</c:formatCode>
                <c:ptCount val="14"/>
                <c:pt idx="0">
                  <c:v>8</c:v>
                </c:pt>
                <c:pt idx="1">
                  <c:v>9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11</c:v>
                </c:pt>
                <c:pt idx="10">
                  <c:v>13</c:v>
                </c:pt>
                <c:pt idx="11">
                  <c:v>10</c:v>
                </c:pt>
                <c:pt idx="12">
                  <c:v>1</c:v>
                </c:pt>
                <c:pt idx="13">
                  <c:v>4</c:v>
                </c:pt>
              </c:numCache>
            </c:numRef>
          </c:val>
        </c:ser>
        <c:marker val="1"/>
        <c:axId val="52472448"/>
        <c:axId val="52524928"/>
      </c:lineChart>
      <c:catAx>
        <c:axId val="5247244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52524928"/>
        <c:crosses val="autoZero"/>
        <c:auto val="1"/>
        <c:lblAlgn val="ctr"/>
        <c:lblOffset val="100"/>
        <c:tickLblSkip val="3"/>
        <c:tickMarkSkip val="3"/>
      </c:catAx>
      <c:valAx>
        <c:axId val="5252492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52472448"/>
        <c:crosses val="autoZero"/>
        <c:crossBetween val="between"/>
      </c:valAx>
    </c:plotArea>
    <c:legend>
      <c:legendPos val="r"/>
      <c:txPr>
        <a:bodyPr/>
        <a:lstStyle/>
        <a:p>
          <a:pPr>
            <a:defRPr sz="800" baseline="0"/>
          </a:pPr>
          <a:endParaRPr lang="en-US"/>
        </a:p>
      </c:txPr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Aggregates in a season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Sheet1!$E$25</c:f>
              <c:strCache>
                <c:ptCount val="1"/>
                <c:pt idx="0">
                  <c:v>500+ runs</c:v>
                </c:pt>
              </c:strCache>
            </c:strRef>
          </c:tx>
          <c:marker>
            <c:symbol val="square"/>
            <c:size val="3"/>
            <c:spPr>
              <a:solidFill>
                <a:srgbClr val="C00000"/>
              </a:solidFill>
            </c:spPr>
          </c:marker>
          <c:dLbls>
            <c:showVal val="1"/>
          </c:dLbls>
          <c:cat>
            <c:strRef>
              <c:f>Sheet1!$D$26:$D$44</c:f>
              <c:strCache>
                <c:ptCount val="19"/>
                <c:pt idx="0">
                  <c:v>1991/92</c:v>
                </c:pt>
                <c:pt idx="1">
                  <c:v>1992/93</c:v>
                </c:pt>
                <c:pt idx="2">
                  <c:v>1993/94</c:v>
                </c:pt>
                <c:pt idx="3">
                  <c:v>1994/95</c:v>
                </c:pt>
                <c:pt idx="4">
                  <c:v>1995/96</c:v>
                </c:pt>
                <c:pt idx="5">
                  <c:v>1996/97</c:v>
                </c:pt>
                <c:pt idx="6">
                  <c:v>1997/98</c:v>
                </c:pt>
                <c:pt idx="7">
                  <c:v>1998/99</c:v>
                </c:pt>
                <c:pt idx="8">
                  <c:v>1999/00</c:v>
                </c:pt>
                <c:pt idx="9">
                  <c:v>2000/01</c:v>
                </c:pt>
                <c:pt idx="10">
                  <c:v>2001/02</c:v>
                </c:pt>
                <c:pt idx="11">
                  <c:v>2002/03</c:v>
                </c:pt>
                <c:pt idx="12">
                  <c:v>2003/04</c:v>
                </c:pt>
                <c:pt idx="13">
                  <c:v>2004/05</c:v>
                </c:pt>
                <c:pt idx="14">
                  <c:v>2005/06</c:v>
                </c:pt>
                <c:pt idx="15">
                  <c:v>2006/07</c:v>
                </c:pt>
                <c:pt idx="16">
                  <c:v>2007/08</c:v>
                </c:pt>
                <c:pt idx="17">
                  <c:v>2008/09</c:v>
                </c:pt>
                <c:pt idx="18">
                  <c:v>2009/10</c:v>
                </c:pt>
              </c:strCache>
            </c:strRef>
          </c:cat>
          <c:val>
            <c:numRef>
              <c:f>Sheet1!$E$26:$E$44</c:f>
              <c:numCache>
                <c:formatCode>General</c:formatCode>
                <c:ptCount val="19"/>
                <c:pt idx="0">
                  <c:v>9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400+ runs</c:v>
                </c:pt>
              </c:strCache>
            </c:strRef>
          </c:tx>
          <c:marker>
            <c:symbol val="diamond"/>
            <c:size val="3"/>
            <c:spPr>
              <a:solidFill>
                <a:srgbClr val="0070C0"/>
              </a:solidFill>
            </c:spPr>
          </c:marke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cat>
            <c:strRef>
              <c:f>Sheet1!$D$26:$D$44</c:f>
              <c:strCache>
                <c:ptCount val="19"/>
                <c:pt idx="0">
                  <c:v>1991/92</c:v>
                </c:pt>
                <c:pt idx="1">
                  <c:v>1992/93</c:v>
                </c:pt>
                <c:pt idx="2">
                  <c:v>1993/94</c:v>
                </c:pt>
                <c:pt idx="3">
                  <c:v>1994/95</c:v>
                </c:pt>
                <c:pt idx="4">
                  <c:v>1995/96</c:v>
                </c:pt>
                <c:pt idx="5">
                  <c:v>1996/97</c:v>
                </c:pt>
                <c:pt idx="6">
                  <c:v>1997/98</c:v>
                </c:pt>
                <c:pt idx="7">
                  <c:v>1998/99</c:v>
                </c:pt>
                <c:pt idx="8">
                  <c:v>1999/00</c:v>
                </c:pt>
                <c:pt idx="9">
                  <c:v>2000/01</c:v>
                </c:pt>
                <c:pt idx="10">
                  <c:v>2001/02</c:v>
                </c:pt>
                <c:pt idx="11">
                  <c:v>2002/03</c:v>
                </c:pt>
                <c:pt idx="12">
                  <c:v>2003/04</c:v>
                </c:pt>
                <c:pt idx="13">
                  <c:v>2004/05</c:v>
                </c:pt>
                <c:pt idx="14">
                  <c:v>2005/06</c:v>
                </c:pt>
                <c:pt idx="15">
                  <c:v>2006/07</c:v>
                </c:pt>
                <c:pt idx="16">
                  <c:v>2007/08</c:v>
                </c:pt>
                <c:pt idx="17">
                  <c:v>2008/09</c:v>
                </c:pt>
                <c:pt idx="18">
                  <c:v>2009/10</c:v>
                </c:pt>
              </c:strCache>
            </c:strRef>
          </c:cat>
          <c:val>
            <c:numRef>
              <c:f>Sheet1!$F$26:$F$44</c:f>
              <c:numCache>
                <c:formatCode>General</c:formatCode>
                <c:ptCount val="19"/>
                <c:pt idx="0">
                  <c:v>12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9</c:v>
                </c:pt>
                <c:pt idx="5">
                  <c:v>2</c:v>
                </c:pt>
                <c:pt idx="6">
                  <c:v>5</c:v>
                </c:pt>
                <c:pt idx="7">
                  <c:v>2</c:v>
                </c:pt>
                <c:pt idx="8">
                  <c:v>0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9</c:v>
                </c:pt>
                <c:pt idx="14">
                  <c:v>3</c:v>
                </c:pt>
                <c:pt idx="15">
                  <c:v>8</c:v>
                </c:pt>
                <c:pt idx="16">
                  <c:v>4</c:v>
                </c:pt>
                <c:pt idx="17">
                  <c:v>1</c:v>
                </c:pt>
                <c:pt idx="18">
                  <c:v>2</c:v>
                </c:pt>
              </c:numCache>
            </c:numRef>
          </c:val>
        </c:ser>
        <c:marker val="1"/>
        <c:axId val="64482304"/>
        <c:axId val="64553344"/>
      </c:lineChart>
      <c:catAx>
        <c:axId val="6448230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4553344"/>
        <c:crosses val="autoZero"/>
        <c:auto val="1"/>
        <c:lblAlgn val="ctr"/>
        <c:lblOffset val="100"/>
        <c:tickLblSkip val="3"/>
        <c:tickMarkSkip val="3"/>
      </c:catAx>
      <c:valAx>
        <c:axId val="645533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44823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Scores over 200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chemeClr val="accent1"/>
              </a:solidFill>
            </a:ln>
          </c:spPr>
          <c:marker>
            <c:symbol val="square"/>
            <c:size val="3"/>
            <c:spPr>
              <a:solidFill>
                <a:srgbClr val="C00000"/>
              </a:solidFill>
              <a:ln>
                <a:solidFill>
                  <a:srgbClr val="4F81BD"/>
                </a:solidFill>
              </a:ln>
            </c:spPr>
          </c:marker>
          <c:cat>
            <c:strRef>
              <c:f>Sheet1!$W$53:$W$77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Sheet1!$X$53:$X$77</c:f>
              <c:numCache>
                <c:formatCode>0.00</c:formatCode>
                <c:ptCount val="25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39.660000000000004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26.419999999999998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24.630000000000003</c:v>
                </c:pt>
                <c:pt idx="19">
                  <c:v>43.690000000000005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30.110000000000003</c:v>
                </c:pt>
              </c:numCache>
            </c:numRef>
          </c:val>
        </c:ser>
        <c:marker val="1"/>
        <c:axId val="64754816"/>
        <c:axId val="64761856"/>
      </c:lineChart>
      <c:catAx>
        <c:axId val="6475481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4761856"/>
        <c:crosses val="autoZero"/>
        <c:auto val="1"/>
        <c:lblAlgn val="ctr"/>
        <c:lblOffset val="100"/>
        <c:tickLblSkip val="3"/>
        <c:tickMarkSkip val="3"/>
      </c:catAx>
      <c:valAx>
        <c:axId val="64761856"/>
        <c:scaling>
          <c:orientation val="minMax"/>
          <c:min val="1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4754816"/>
        <c:crosses val="autoZero"/>
        <c:crossBetween val="between"/>
        <c:majorUnit val="5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Scores under 100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Sheet1!$Y$53:$Y$77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Sheet1!$Z$53:$Z$77</c:f>
              <c:numCache>
                <c:formatCode>0.00</c:formatCode>
                <c:ptCount val="25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1.1399999999999997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</c:numCache>
            </c:numRef>
          </c:val>
        </c:ser>
        <c:marker val="1"/>
        <c:axId val="64944768"/>
        <c:axId val="65012864"/>
      </c:lineChart>
      <c:catAx>
        <c:axId val="6494476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012864"/>
        <c:crosses val="autoZero"/>
        <c:auto val="1"/>
        <c:lblAlgn val="ctr"/>
        <c:lblOffset val="100"/>
        <c:tickLblSkip val="3"/>
        <c:tickMarkSkip val="3"/>
      </c:catAx>
      <c:valAx>
        <c:axId val="65012864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494476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Results as % of matches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Sheet1!$AA$53:$AA$77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Sheet1!$AB$53:$AB$77</c:f>
              <c:numCache>
                <c:formatCode>0.00</c:formatCode>
                <c:ptCount val="25"/>
                <c:pt idx="0">
                  <c:v>52.5</c:v>
                </c:pt>
                <c:pt idx="1">
                  <c:v>42.220000000000006</c:v>
                </c:pt>
                <c:pt idx="2">
                  <c:v>64.440000000000012</c:v>
                </c:pt>
                <c:pt idx="3">
                  <c:v>57.78</c:v>
                </c:pt>
                <c:pt idx="4">
                  <c:v>57.5</c:v>
                </c:pt>
                <c:pt idx="5">
                  <c:v>55.56</c:v>
                </c:pt>
                <c:pt idx="6">
                  <c:v>67.5</c:v>
                </c:pt>
                <c:pt idx="7">
                  <c:v>66.669999999999987</c:v>
                </c:pt>
                <c:pt idx="8">
                  <c:v>75</c:v>
                </c:pt>
                <c:pt idx="9">
                  <c:v>71.11</c:v>
                </c:pt>
                <c:pt idx="10">
                  <c:v>57.5</c:v>
                </c:pt>
                <c:pt idx="11">
                  <c:v>68.569999999999993</c:v>
                </c:pt>
                <c:pt idx="12">
                  <c:v>68.179999999999993</c:v>
                </c:pt>
                <c:pt idx="13">
                  <c:v>61.11</c:v>
                </c:pt>
                <c:pt idx="14">
                  <c:v>37.14</c:v>
                </c:pt>
                <c:pt idx="15">
                  <c:v>53.13</c:v>
                </c:pt>
                <c:pt idx="16">
                  <c:v>75</c:v>
                </c:pt>
                <c:pt idx="17">
                  <c:v>71.88</c:v>
                </c:pt>
                <c:pt idx="18">
                  <c:v>55.56</c:v>
                </c:pt>
                <c:pt idx="19">
                  <c:v>43.33</c:v>
                </c:pt>
                <c:pt idx="20">
                  <c:v>60</c:v>
                </c:pt>
                <c:pt idx="21">
                  <c:v>52.5</c:v>
                </c:pt>
                <c:pt idx="22">
                  <c:v>42.5</c:v>
                </c:pt>
                <c:pt idx="23">
                  <c:v>53.849999999999994</c:v>
                </c:pt>
                <c:pt idx="24">
                  <c:v>60.71</c:v>
                </c:pt>
              </c:numCache>
            </c:numRef>
          </c:val>
        </c:ser>
        <c:marker val="1"/>
        <c:axId val="65033344"/>
        <c:axId val="65047936"/>
      </c:lineChart>
      <c:catAx>
        <c:axId val="6503334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047936"/>
        <c:crosses val="autoZero"/>
        <c:auto val="1"/>
        <c:lblAlgn val="ctr"/>
        <c:lblOffset val="100"/>
        <c:tickLblSkip val="3"/>
        <c:tickMarkSkip val="3"/>
      </c:catAx>
      <c:valAx>
        <c:axId val="65047936"/>
        <c:scaling>
          <c:orientation val="minMax"/>
          <c:max val="80"/>
          <c:min val="3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033344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Declarations as % of innings </a:t>
            </a:r>
          </a:p>
        </c:rich>
      </c:tx>
      <c:layout>
        <c:manualLayout>
          <c:xMode val="edge"/>
          <c:yMode val="edge"/>
          <c:x val="0.37469444444444466"/>
          <c:y val="3.7037037037037056E-2"/>
        </c:manualLayout>
      </c:layout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Sheet1!$AC$53:$AC$77</c:f>
              <c:strCache>
                <c:ptCount val="25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</c:strCache>
            </c:strRef>
          </c:cat>
          <c:val>
            <c:numRef>
              <c:f>Sheet1!$AD$53:$AD$77</c:f>
              <c:numCache>
                <c:formatCode>0.00</c:formatCode>
                <c:ptCount val="25"/>
                <c:pt idx="0">
                  <c:v>40.379999999999995</c:v>
                </c:pt>
                <c:pt idx="1">
                  <c:v>50.59</c:v>
                </c:pt>
                <c:pt idx="2">
                  <c:v>37.5</c:v>
                </c:pt>
                <c:pt idx="3">
                  <c:v>44.89</c:v>
                </c:pt>
                <c:pt idx="4">
                  <c:v>37.25</c:v>
                </c:pt>
                <c:pt idx="5">
                  <c:v>41.339999999999996</c:v>
                </c:pt>
                <c:pt idx="6">
                  <c:v>45.28</c:v>
                </c:pt>
                <c:pt idx="7">
                  <c:v>37.71</c:v>
                </c:pt>
                <c:pt idx="8">
                  <c:v>41.4</c:v>
                </c:pt>
                <c:pt idx="9">
                  <c:v>40.449999999999996</c:v>
                </c:pt>
                <c:pt idx="10">
                  <c:v>40.25</c:v>
                </c:pt>
                <c:pt idx="11">
                  <c:v>38.97</c:v>
                </c:pt>
                <c:pt idx="12">
                  <c:v>30.459999999999997</c:v>
                </c:pt>
                <c:pt idx="13">
                  <c:v>30.23</c:v>
                </c:pt>
                <c:pt idx="14">
                  <c:v>20.21</c:v>
                </c:pt>
                <c:pt idx="15">
                  <c:v>27.97</c:v>
                </c:pt>
                <c:pt idx="16">
                  <c:v>28.24</c:v>
                </c:pt>
                <c:pt idx="17">
                  <c:v>44.349999999999994</c:v>
                </c:pt>
                <c:pt idx="18">
                  <c:v>43.28</c:v>
                </c:pt>
                <c:pt idx="19">
                  <c:v>40.21</c:v>
                </c:pt>
                <c:pt idx="20">
                  <c:v>28.279999999999998</c:v>
                </c:pt>
                <c:pt idx="21">
                  <c:v>27.34</c:v>
                </c:pt>
                <c:pt idx="22">
                  <c:v>36.06557377049181</c:v>
                </c:pt>
                <c:pt idx="23">
                  <c:v>43.96</c:v>
                </c:pt>
                <c:pt idx="24">
                  <c:v>39.78</c:v>
                </c:pt>
              </c:numCache>
            </c:numRef>
          </c:val>
        </c:ser>
        <c:marker val="1"/>
        <c:axId val="65250432"/>
        <c:axId val="65252736"/>
      </c:lineChart>
      <c:catAx>
        <c:axId val="6525043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252736"/>
        <c:crosses val="autoZero"/>
        <c:auto val="1"/>
        <c:lblAlgn val="ctr"/>
        <c:lblOffset val="100"/>
        <c:tickLblSkip val="3"/>
        <c:tickMarkSkip val="3"/>
      </c:catAx>
      <c:valAx>
        <c:axId val="65252736"/>
        <c:scaling>
          <c:orientation val="minMax"/>
          <c:min val="1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652504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2010-04-08T23:51:00Z</dcterms:created>
  <dcterms:modified xsi:type="dcterms:W3CDTF">2010-04-09T00:19:00Z</dcterms:modified>
</cp:coreProperties>
</file>